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3"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pPr>
                              <w:spacing w:line="400" w:lineRule="exact"/>
                              <w:rPr>
                                <w:rFonts w:ascii="仿宋_GB2312" w:eastAsia="仿宋_GB2312"/>
                                <w:sz w:val="22"/>
                              </w:rPr>
                            </w:pPr>
                            <w:r>
                              <w:rPr>
                                <w:rFonts w:hint="eastAsia" w:ascii="仿宋_GB2312" w:eastAsia="仿宋_GB2312"/>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3zNcdcAAAAIAQAADwAAAAAAAAABACAA&#10;AAAiAAAAZHJzL2Rvd25yZXYueG1sUEsBAhQAFAAAAAgAh07iQPSTJisOAgAARgQAAA4AAAAAAAAA&#10;AQAgAAAAJgEAAGRycy9lMm9Eb2MueG1sUEsFBgAAAAAGAAYAWQEAAKYFAAAAAA==&#10;">
                <v:fill on="t" focussize="0,0"/>
                <v:stroke color="#FFFFFF" joinstyle="miter"/>
                <v:imagedata o:title=""/>
                <o:lock v:ext="edit" aspectratio="f"/>
                <v:textbox>
                  <w:txbxContent>
                    <w:p>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pPr>
                        <w:spacing w:line="400" w:lineRule="exact"/>
                        <w:rPr>
                          <w:rFonts w:ascii="仿宋_GB2312" w:eastAsia="仿宋_GB2312"/>
                          <w:sz w:val="22"/>
                        </w:rPr>
                      </w:pPr>
                      <w:r>
                        <w:rPr>
                          <w:rFonts w:hint="eastAsia" w:ascii="仿宋_GB2312" w:eastAsia="仿宋_GB2312"/>
                          <w:sz w:val="22"/>
                        </w:rPr>
                        <w:t>SHENZHEN ZHONGZHENG TENDERING CO.,LTD.</w:t>
                      </w:r>
                    </w:p>
                  </w:txbxContent>
                </v:textbox>
              </v:shape>
            </w:pict>
          </mc:Fallback>
        </mc:AlternateContent>
      </w:r>
      <w:r>
        <w:rPr>
          <w:b/>
          <w:kern w:val="0"/>
          <w:sz w:val="28"/>
          <w:szCs w:val="28"/>
        </w:rPr>
        <w:drawing>
          <wp:inline distT="0" distB="0" distL="0" distR="0">
            <wp:extent cx="552450" cy="476250"/>
            <wp:effectExtent l="57150" t="19050" r="190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pPr>
        <w:adjustRightInd w:val="0"/>
        <w:snapToGrid w:val="0"/>
        <w:spacing w:line="300" w:lineRule="auto"/>
        <w:jc w:val="left"/>
        <w:rPr>
          <w:b/>
          <w:bCs/>
          <w:snapToGrid w:val="0"/>
          <w:kern w:val="0"/>
          <w:sz w:val="28"/>
          <w:szCs w:val="28"/>
        </w:rPr>
      </w:pPr>
    </w:p>
    <w:p>
      <w:pPr>
        <w:adjustRightInd w:val="0"/>
        <w:snapToGrid w:val="0"/>
        <w:spacing w:line="300" w:lineRule="auto"/>
        <w:jc w:val="center"/>
        <w:rPr>
          <w:rFonts w:hint="eastAsia" w:asciiTheme="minorEastAsia" w:hAnsiTheme="minorEastAsia" w:eastAsiaTheme="minorEastAsia"/>
          <w:b/>
          <w:snapToGrid w:val="0"/>
          <w:kern w:val="0"/>
          <w:sz w:val="70"/>
          <w:szCs w:val="70"/>
          <w:lang w:eastAsia="zh-CN"/>
        </w:rPr>
      </w:pPr>
      <w:r>
        <w:rPr>
          <w:rFonts w:hint="eastAsia" w:asciiTheme="minorEastAsia" w:hAnsiTheme="minorEastAsia" w:eastAsiaTheme="minorEastAsia"/>
          <w:b/>
          <w:bCs/>
          <w:snapToGrid w:val="0"/>
          <w:kern w:val="0"/>
          <w:sz w:val="70"/>
          <w:szCs w:val="70"/>
          <w:lang w:eastAsia="zh-CN"/>
        </w:rPr>
        <w:t>深圳市智能网联汽车产品地方标准体系建设服务项目</w:t>
      </w:r>
    </w:p>
    <w:p>
      <w:pPr>
        <w:adjustRightInd w:val="0"/>
        <w:snapToGrid w:val="0"/>
        <w:spacing w:line="300" w:lineRule="auto"/>
        <w:jc w:val="center"/>
        <w:rPr>
          <w:rFonts w:asciiTheme="minorEastAsia" w:hAnsiTheme="minorEastAsia" w:eastAsiaTheme="minorEastAsia"/>
          <w:b/>
          <w:snapToGrid w:val="0"/>
          <w:kern w:val="0"/>
          <w:sz w:val="44"/>
          <w:szCs w:val="44"/>
        </w:rPr>
      </w:pPr>
    </w:p>
    <w:p>
      <w:pPr>
        <w:adjustRightInd w:val="0"/>
        <w:snapToGrid w:val="0"/>
        <w:spacing w:line="300" w:lineRule="auto"/>
        <w:jc w:val="center"/>
        <w:rPr>
          <w:rFonts w:asciiTheme="minorEastAsia" w:hAnsiTheme="minorEastAsia" w:eastAsiaTheme="minorEastAsia"/>
          <w:b/>
          <w:snapToGrid w:val="0"/>
          <w:kern w:val="0"/>
          <w:sz w:val="44"/>
          <w:szCs w:val="44"/>
        </w:rPr>
      </w:pPr>
    </w:p>
    <w:p>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pPr>
        <w:adjustRightInd w:val="0"/>
        <w:snapToGrid w:val="0"/>
        <w:spacing w:line="300" w:lineRule="auto"/>
        <w:jc w:val="center"/>
        <w:rPr>
          <w:rFonts w:asciiTheme="minorEastAsia" w:hAnsiTheme="minorEastAsia" w:eastAsiaTheme="minorEastAsia"/>
          <w:b/>
          <w:snapToGrid w:val="0"/>
          <w:kern w:val="0"/>
          <w:sz w:val="32"/>
        </w:rPr>
      </w:pPr>
    </w:p>
    <w:p>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SZDL2023001077</w:t>
      </w:r>
    </w:p>
    <w:p>
      <w:pPr>
        <w:adjustRightInd w:val="0"/>
        <w:snapToGrid w:val="0"/>
        <w:spacing w:line="300" w:lineRule="auto"/>
        <w:jc w:val="center"/>
        <w:rPr>
          <w:rFonts w:asciiTheme="minorEastAsia" w:hAnsiTheme="minorEastAsia" w:eastAsiaTheme="minorEastAsia"/>
          <w:b/>
          <w:snapToGrid w:val="0"/>
          <w:kern w:val="0"/>
          <w:sz w:val="18"/>
          <w:szCs w:val="18"/>
        </w:rPr>
      </w:pPr>
    </w:p>
    <w:p>
      <w:pPr>
        <w:adjustRightInd w:val="0"/>
        <w:snapToGrid w:val="0"/>
        <w:spacing w:line="300" w:lineRule="auto"/>
        <w:jc w:val="center"/>
        <w:rPr>
          <w:rFonts w:asciiTheme="minorEastAsia" w:hAnsiTheme="minorEastAsia" w:eastAsiaTheme="minorEastAsia"/>
          <w:b/>
          <w:snapToGrid w:val="0"/>
          <w:kern w:val="0"/>
          <w:sz w:val="44"/>
        </w:rPr>
      </w:pPr>
    </w:p>
    <w:p>
      <w:pPr>
        <w:adjustRightInd w:val="0"/>
        <w:snapToGrid w:val="0"/>
        <w:spacing w:line="300" w:lineRule="auto"/>
        <w:jc w:val="center"/>
        <w:rPr>
          <w:rFonts w:hint="eastAsia" w:asciiTheme="minorEastAsia" w:hAnsiTheme="minorEastAsia" w:eastAsiaTheme="minorEastAsia"/>
          <w:b/>
          <w:snapToGrid w:val="0"/>
          <w:kern w:val="0"/>
          <w:sz w:val="44"/>
        </w:rPr>
      </w:pPr>
    </w:p>
    <w:p>
      <w:pPr>
        <w:adjustRightInd w:val="0"/>
        <w:snapToGrid w:val="0"/>
        <w:spacing w:line="300" w:lineRule="auto"/>
        <w:jc w:val="center"/>
        <w:rPr>
          <w:rFonts w:asciiTheme="minorEastAsia" w:hAnsiTheme="minorEastAsia" w:eastAsiaTheme="minorEastAsia"/>
          <w:b/>
          <w:snapToGrid w:val="0"/>
          <w:kern w:val="0"/>
          <w:sz w:val="44"/>
        </w:rPr>
      </w:pPr>
      <w:r>
        <w:rPr>
          <w:rFonts w:asciiTheme="minorEastAsia" w:hAnsiTheme="minorEastAsia" w:eastAsiaTheme="minorEastAsia"/>
          <w:b/>
          <w:snapToGrid w:val="0"/>
          <w:kern w:val="0"/>
          <w:sz w:val="44"/>
        </w:rPr>
        <w:t xml:space="preserve"> </w:t>
      </w:r>
    </w:p>
    <w:p>
      <w:pPr>
        <w:rPr>
          <w:rFonts w:asciiTheme="minorEastAsia" w:hAnsiTheme="minorEastAsia" w:eastAsiaTheme="minorEastAsia"/>
        </w:rPr>
      </w:pPr>
    </w:p>
    <w:p>
      <w:pPr>
        <w:pStyle w:val="25"/>
        <w:adjustRightInd w:val="0"/>
        <w:snapToGrid w:val="0"/>
        <w:spacing w:line="300" w:lineRule="auto"/>
        <w:jc w:val="center"/>
        <w:rPr>
          <w:rFonts w:asciiTheme="minorEastAsia" w:hAnsiTheme="minorEastAsia" w:eastAsiaTheme="minorEastAsia"/>
        </w:rPr>
      </w:pPr>
      <w:r>
        <w:rPr>
          <w:rFonts w:hint="eastAsia" w:asciiTheme="minorEastAsia" w:hAnsiTheme="minorEastAsia" w:eastAsiaTheme="minorEastAsia"/>
          <w:b/>
          <w:snapToGrid w:val="0"/>
          <w:sz w:val="30"/>
        </w:rPr>
        <w:t>二〇二三年五月</w:t>
      </w:r>
    </w:p>
    <w:p>
      <w:pPr>
        <w:pStyle w:val="38"/>
        <w:spacing w:before="454" w:beforeAutospacing="0" w:after="454" w:afterAutospacing="0"/>
        <w:ind w:left="454" w:right="454"/>
        <w:jc w:val="center"/>
        <w:outlineLvl w:val="0"/>
        <w:rPr>
          <w:sz w:val="40"/>
          <w:szCs w:val="40"/>
        </w:rPr>
      </w:pP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360" w:lineRule="auto"/>
        <w:ind w:firstLine="480" w:firstLineChars="200"/>
        <w:rPr>
          <w:rFonts w:ascii="仿宋" w:hAnsi="仿宋" w:eastAsia="仿宋"/>
          <w:sz w:val="24"/>
        </w:rPr>
      </w:pP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一、《深圳经济特区政府采购条例》第五十七条</w:t>
      </w:r>
      <w:r>
        <w:rPr>
          <w:rFonts w:asciiTheme="minorEastAsia" w:hAnsiTheme="minorEastAsia" w:eastAsiaTheme="minorEastAsia"/>
          <w:szCs w:val="21"/>
        </w:rPr>
        <w:t xml:space="preserve"> </w:t>
      </w:r>
      <w:r>
        <w:rPr>
          <w:rFonts w:hint="eastAsia" w:asciiTheme="minorEastAsia" w:hAnsiTheme="minorEastAsia" w:eastAsiaTheme="minor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（一）在采购活动中应当回避而未回避的；</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（二）未按本条例规定签订、履行采购合同，造成严重后果的；</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（三）隐瞒真实情况，提供虚假资料的；</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（四）以非法手段排斥其他供应商参与竞争的；</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（五）与其他采购参加人串通投标的；</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（六）恶意投诉的；</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（七）向采购项目相关人行贿或者提供其他不当利益的；</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（八）阻碍、抗拒主管部门监督检查的；</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（九）其他违反本条例规定的行为。</w:t>
      </w:r>
    </w:p>
    <w:p>
      <w:pPr>
        <w:spacing w:line="440" w:lineRule="exact"/>
        <w:ind w:firstLine="420" w:firstLineChars="200"/>
        <w:rPr>
          <w:rFonts w:asciiTheme="minorEastAsia" w:hAnsiTheme="minorEastAsia" w:eastAsiaTheme="minorEastAsia"/>
          <w:szCs w:val="21"/>
        </w:rPr>
      </w:pP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二、《深圳经济特区政府采购条例实施细则》第七十六条 供应商有下列行为之一的，由主管部门记入供应商诚信档案并作出以下处罚：</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第七十七条 供应商有下列行为之一的，属于情节严重，由市场监管部门依法吊销其营业执照，主管部门取消其参与本市政府采购的资格，并作出以下处罚： </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第七十九条 供应商有下列情形的，属于采购条例所称的串通投标行为，按照采购条例第五十七条有关规定处理：</w:t>
      </w:r>
    </w:p>
    <w:p>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（一）投标供应商之间相互约定给予未中标的供应商利益补偿；</w:t>
      </w:r>
    </w:p>
    <w:p>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 xml:space="preserve">（二）不同投标供应商的法定代表人、主要经营负责人、项目投标授权代表人、项目负责人、主要技术人员为同一人、属同一单位或者在同一单位缴纳社会保险；          </w:t>
      </w:r>
    </w:p>
    <w:p>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（三）不同投标供应商的投标文件由同一单位或者同一人编制，或者由同一人分阶段参与编制的；</w:t>
      </w:r>
    </w:p>
    <w:p>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（四）不同投标供应商的投标文件或部分投标文件相互混装；</w:t>
      </w:r>
    </w:p>
    <w:p>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（五）不同投标供应商的投标文件内容存在非正常一致；</w:t>
      </w:r>
    </w:p>
    <w:p>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（六）由同一单位工作人员为两家以上（含两家）供应商进行同一项投标活动的；</w:t>
      </w:r>
    </w:p>
    <w:p>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（七）主管部门依照法律、法规认定的其他情形。</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第八十一条 供应商有下列情形之一的，属于隐瞒真实情况，提供虚假资料，按照采购条例第五十七的有关规定处理：</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（一）通过转让或者租借等方式从其他单位获取资格或者资质证书投标的；</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（二）由其他单位或者其他单位负责人在投标供应商编制的投标文件上加盖印章或者签字的；</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（三）项目负责人或者主要技术人员不是本单位人员的；</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（四）投标保证金不是从投标供应商基本账户转出的；</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（五）其他隐瞒真实情况、提供虚假资料的行为。</w:t>
      </w:r>
    </w:p>
    <w:p>
      <w:pPr>
        <w:spacing w:line="440" w:lineRule="exact"/>
        <w:ind w:firstLine="371" w:firstLineChars="177"/>
        <w:rPr>
          <w:rFonts w:asciiTheme="minorEastAsia" w:hAnsiTheme="minorEastAsia" w:eastAsiaTheme="minorEastAsia"/>
          <w:szCs w:val="21"/>
        </w:rPr>
      </w:pPr>
      <w:r>
        <w:rPr>
          <w:rFonts w:hint="eastAsia" w:asciiTheme="minorEastAsia" w:hAnsiTheme="minorEastAsia" w:eastAsiaTheme="minorEastAsia"/>
          <w:szCs w:val="21"/>
        </w:rPr>
        <w:t>投标供应商不能提供项目负责人或者主要技术人员的劳动合同、社会保险等劳动关系证明材料的，视为存在前款第（三）项规定的情形。</w:t>
      </w:r>
    </w:p>
    <w:p>
      <w:pPr>
        <w:spacing w:line="440" w:lineRule="exact"/>
        <w:ind w:firstLine="373" w:firstLineChars="177"/>
        <w:rPr>
          <w:rFonts w:asciiTheme="minorEastAsia" w:hAnsiTheme="minorEastAsia" w:eastAsiaTheme="minorEastAsia"/>
          <w:b/>
          <w:color w:val="FF0000"/>
          <w:szCs w:val="21"/>
        </w:rPr>
      </w:pPr>
    </w:p>
    <w:p>
      <w:pPr>
        <w:spacing w:line="440" w:lineRule="exact"/>
        <w:ind w:firstLine="373" w:firstLineChars="177"/>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三、根据《中华人民共和国政府采购法实施条例》第十八条规定：“单位负责人为同一人或者存在直接控股、管理关系的不同供应商，不得参加同一合同项下的政府采购活动。”</w:t>
      </w:r>
    </w:p>
    <w:p>
      <w:pPr>
        <w:spacing w:line="440" w:lineRule="exact"/>
        <w:ind w:firstLine="373" w:firstLineChars="177"/>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投标供应商涉嫌存在串通投标等违法行为的，将书面报告财政主管部门依法处理。</w:t>
      </w:r>
    </w:p>
    <w:p>
      <w:pPr>
        <w:spacing w:line="360" w:lineRule="auto"/>
        <w:ind w:firstLine="480" w:firstLineChars="200"/>
        <w:rPr>
          <w:sz w:val="40"/>
          <w:szCs w:val="40"/>
        </w:rPr>
      </w:pPr>
      <w:r>
        <w:rPr>
          <w:rFonts w:hint="eastAsia" w:ascii="仿宋" w:hAnsi="仿宋" w:eastAsia="仿宋"/>
          <w:sz w:val="24"/>
        </w:rPr>
        <w:cr/>
      </w:r>
    </w:p>
    <w:p>
      <w:pPr>
        <w:pStyle w:val="38"/>
        <w:spacing w:before="454" w:beforeAutospacing="0" w:after="454" w:afterAutospacing="0"/>
        <w:ind w:left="454" w:right="454"/>
        <w:jc w:val="center"/>
        <w:outlineLvl w:val="0"/>
        <w:rPr>
          <w:rFonts w:hint="eastAsia" w:eastAsia="宋体"/>
          <w:sz w:val="40"/>
          <w:szCs w:val="40"/>
          <w:lang w:eastAsia="zh-CN"/>
        </w:rPr>
      </w:pPr>
      <w:r>
        <w:rPr>
          <w:rFonts w:hint="eastAsia"/>
          <w:sz w:val="40"/>
          <w:szCs w:val="40"/>
          <w:lang w:eastAsia="zh-CN"/>
        </w:rPr>
        <w:t>深圳市智能网联汽车产品地方标准体系建设服务项目</w:t>
      </w:r>
    </w:p>
    <w:p>
      <w:pPr>
        <w:pStyle w:val="38"/>
        <w:jc w:val="center"/>
        <w:outlineLvl w:val="1"/>
        <w:rPr>
          <w:rFonts w:ascii="黑体" w:hAnsi="黑体" w:eastAsia="黑体"/>
          <w:sz w:val="40"/>
          <w:szCs w:val="40"/>
        </w:rPr>
      </w:pPr>
      <w:r>
        <w:rPr>
          <w:rFonts w:hint="eastAsia" w:ascii="黑体" w:hAnsi="黑体" w:eastAsia="黑体"/>
          <w:sz w:val="40"/>
          <w:szCs w:val="40"/>
        </w:rPr>
        <w:t>招标文件信息</w:t>
      </w:r>
    </w:p>
    <w:tbl>
      <w:tblPr>
        <w:tblStyle w:val="43"/>
        <w:tblW w:w="7938" w:type="dxa"/>
        <w:jc w:val="center"/>
        <w:tblCellSpacing w:w="0" w:type="dxa"/>
        <w:tblLayout w:type="fixed"/>
        <w:tblCellMar>
          <w:top w:w="45" w:type="dxa"/>
          <w:left w:w="45" w:type="dxa"/>
          <w:bottom w:w="45" w:type="dxa"/>
          <w:right w:w="45" w:type="dxa"/>
        </w:tblCellMar>
      </w:tblPr>
      <w:tblGrid>
        <w:gridCol w:w="2722"/>
        <w:gridCol w:w="5216"/>
      </w:tblGrid>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项目编号：</w:t>
            </w:r>
          </w:p>
        </w:tc>
        <w:tc>
          <w:tcPr>
            <w:tcW w:w="5216" w:type="dxa"/>
            <w:vAlign w:val="center"/>
          </w:tcPr>
          <w:p>
            <w:pPr>
              <w:rPr>
                <w:rFonts w:cs="宋体" w:asciiTheme="minorEastAsia" w:hAnsiTheme="minorEastAsia" w:eastAsiaTheme="minorEastAsia"/>
                <w:sz w:val="30"/>
                <w:szCs w:val="30"/>
              </w:rPr>
            </w:pPr>
            <w:r>
              <w:rPr>
                <w:rFonts w:hint="eastAsia" w:asciiTheme="minorEastAsia" w:hAnsiTheme="minorEastAsia" w:eastAsiaTheme="minorEastAsia"/>
                <w:sz w:val="30"/>
                <w:szCs w:val="30"/>
                <w:lang w:eastAsia="zh-CN"/>
              </w:rPr>
              <w:t>SZDL2023001077</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项目名称：</w:t>
            </w:r>
          </w:p>
        </w:tc>
        <w:tc>
          <w:tcPr>
            <w:tcW w:w="5216" w:type="dxa"/>
            <w:vAlign w:val="center"/>
          </w:tcPr>
          <w:p>
            <w:pPr>
              <w:rPr>
                <w:rFonts w:hint="eastAsia" w:cs="宋体" w:asciiTheme="minorEastAsia" w:hAnsiTheme="minorEastAsia" w:eastAsiaTheme="minorEastAsia"/>
                <w:sz w:val="30"/>
                <w:szCs w:val="30"/>
                <w:lang w:eastAsia="zh-CN"/>
              </w:rPr>
            </w:pPr>
            <w:r>
              <w:rPr>
                <w:rFonts w:hint="eastAsia" w:asciiTheme="minorEastAsia" w:hAnsiTheme="minorEastAsia" w:eastAsiaTheme="minorEastAsia"/>
                <w:sz w:val="30"/>
                <w:szCs w:val="30"/>
                <w:lang w:eastAsia="zh-CN"/>
              </w:rPr>
              <w:t>深圳市智能网联汽车产品地方标准体系建设服务项目</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包 号：</w:t>
            </w:r>
          </w:p>
        </w:tc>
        <w:tc>
          <w:tcPr>
            <w:tcW w:w="5216" w:type="dxa"/>
            <w:vAlign w:val="center"/>
          </w:tcPr>
          <w:p>
            <w:pPr>
              <w:rPr>
                <w:rFonts w:cs="宋体" w:asciiTheme="minorEastAsia" w:hAnsiTheme="minorEastAsia" w:eastAsiaTheme="minorEastAsia"/>
                <w:sz w:val="30"/>
                <w:szCs w:val="30"/>
              </w:rPr>
            </w:pPr>
            <w:r>
              <w:rPr>
                <w:rFonts w:asciiTheme="minorEastAsia" w:hAnsiTheme="minorEastAsia" w:eastAsiaTheme="minorEastAsia"/>
                <w:sz w:val="30"/>
                <w:szCs w:val="30"/>
              </w:rPr>
              <w:t>A</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项目类型：</w:t>
            </w:r>
          </w:p>
        </w:tc>
        <w:tc>
          <w:tcPr>
            <w:tcW w:w="5216" w:type="dxa"/>
            <w:vAlign w:val="center"/>
          </w:tcPr>
          <w:p>
            <w:pPr>
              <w:rPr>
                <w:rFonts w:cs="宋体" w:asciiTheme="minorEastAsia" w:hAnsiTheme="minorEastAsia" w:eastAsiaTheme="minorEastAsia"/>
                <w:sz w:val="30"/>
                <w:szCs w:val="30"/>
              </w:rPr>
            </w:pPr>
            <w:r>
              <w:rPr>
                <w:rFonts w:asciiTheme="minorEastAsia" w:hAnsiTheme="minorEastAsia" w:eastAsiaTheme="minorEastAsia"/>
                <w:sz w:val="30"/>
                <w:szCs w:val="30"/>
              </w:rPr>
              <w:t>服务类</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采购方式：</w:t>
            </w:r>
          </w:p>
        </w:tc>
        <w:tc>
          <w:tcPr>
            <w:tcW w:w="5216" w:type="dxa"/>
            <w:vAlign w:val="center"/>
          </w:tcPr>
          <w:p>
            <w:pPr>
              <w:rPr>
                <w:rFonts w:cs="宋体" w:asciiTheme="minorEastAsia" w:hAnsiTheme="minorEastAsia" w:eastAsiaTheme="minorEastAsia"/>
                <w:sz w:val="30"/>
                <w:szCs w:val="30"/>
              </w:rPr>
            </w:pPr>
            <w:r>
              <w:rPr>
                <w:rFonts w:asciiTheme="minorEastAsia" w:hAnsiTheme="minorEastAsia" w:eastAsiaTheme="minorEastAsia"/>
                <w:sz w:val="30"/>
                <w:szCs w:val="30"/>
              </w:rPr>
              <w:t>公开招标</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right"/>
              <w:rPr>
                <w:rFonts w:ascii="宋体" w:hAnsi="宋体" w:cs="宋体"/>
                <w:sz w:val="30"/>
                <w:szCs w:val="30"/>
              </w:rPr>
            </w:pPr>
            <w:r>
              <w:rPr>
                <w:sz w:val="30"/>
                <w:szCs w:val="30"/>
              </w:rPr>
              <w:t>货币类型：</w:t>
            </w:r>
          </w:p>
        </w:tc>
        <w:tc>
          <w:tcPr>
            <w:tcW w:w="5216" w:type="dxa"/>
            <w:vAlign w:val="center"/>
          </w:tcPr>
          <w:p>
            <w:pPr>
              <w:rPr>
                <w:rFonts w:ascii="宋体" w:hAnsi="宋体" w:cs="宋体"/>
                <w:sz w:val="30"/>
                <w:szCs w:val="30"/>
              </w:rPr>
            </w:pPr>
            <w:r>
              <w:rPr>
                <w:sz w:val="30"/>
                <w:szCs w:val="30"/>
              </w:rPr>
              <w:t>人民币</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right"/>
              <w:rPr>
                <w:rFonts w:ascii="宋体" w:hAnsi="宋体" w:cs="宋体"/>
                <w:sz w:val="30"/>
                <w:szCs w:val="30"/>
              </w:rPr>
            </w:pPr>
            <w:r>
              <w:rPr>
                <w:sz w:val="30"/>
                <w:szCs w:val="30"/>
              </w:rPr>
              <w:t>评标方法：</w:t>
            </w:r>
          </w:p>
        </w:tc>
        <w:tc>
          <w:tcPr>
            <w:tcW w:w="5216" w:type="dxa"/>
            <w:vAlign w:val="center"/>
          </w:tcPr>
          <w:p>
            <w:pPr>
              <w:rPr>
                <w:rFonts w:ascii="宋体" w:hAnsi="宋体" w:cs="宋体"/>
                <w:sz w:val="30"/>
                <w:szCs w:val="30"/>
              </w:rPr>
            </w:pPr>
            <w:r>
              <w:rPr>
                <w:sz w:val="30"/>
                <w:szCs w:val="30"/>
              </w:rPr>
              <w:t>综合评分法（新价格分算法）</w:t>
            </w:r>
          </w:p>
        </w:tc>
      </w:tr>
    </w:tbl>
    <w:p>
      <w:pPr>
        <w:pStyle w:val="38"/>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szCs w:val="21"/>
              </w:rPr>
              <w:t>投标人具备招标文件所列的资格要求，</w:t>
            </w:r>
            <w:r>
              <w:rPr>
                <w:rFonts w:hint="eastAsia"/>
                <w:szCs w:val="21"/>
              </w:rPr>
              <w:t>且</w:t>
            </w:r>
            <w:r>
              <w:rPr>
                <w:szCs w:val="21"/>
              </w:rPr>
              <w:t>提交相应的资格证明资料（详见招标公告</w:t>
            </w:r>
            <w:r>
              <w:rPr>
                <w:rFonts w:ascii="宋体" w:hAnsi="宋体"/>
              </w:rPr>
              <w:t>申请人的资格要求</w:t>
            </w:r>
            <w:r>
              <w:rPr>
                <w:szCs w:val="21"/>
              </w:rPr>
              <w:t>）</w:t>
            </w:r>
          </w:p>
        </w:tc>
      </w:tr>
    </w:tbl>
    <w:p>
      <w:pPr>
        <w:pStyle w:val="38"/>
        <w:spacing w:before="280" w:beforeAutospacing="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rFonts w:ascii="Times New Roman" w:hAnsi="Times New Roman"/>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rFonts w:ascii="Times New Roman" w:hAnsi="Times New Roman"/>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rFonts w:ascii="Times New Roman" w:hAnsi="Times New Roman"/>
                <w:szCs w:val="21"/>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ascii="Times New Roman" w:hAnsi="Times New Roman"/>
                <w:szCs w:val="21"/>
              </w:rPr>
              <w:t>未</w:t>
            </w:r>
            <w:r>
              <w:rPr>
                <w:rFonts w:ascii="Times New Roman" w:hAnsi="Times New Roman"/>
                <w:szCs w:val="21"/>
              </w:rPr>
              <w:t>将一个包或一个标段的内容拆开投标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rFonts w:ascii="Times New Roman" w:hAnsi="Times New Roman"/>
                <w:szCs w:val="21"/>
              </w:rPr>
              <w:t>2</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ascii="Times New Roman" w:hAnsi="Times New Roman"/>
                <w:szCs w:val="21"/>
              </w:rPr>
              <w:t>对同一项目投标时，</w:t>
            </w:r>
            <w:r>
              <w:rPr>
                <w:rFonts w:hint="eastAsia" w:ascii="Times New Roman" w:hAnsi="Times New Roman"/>
                <w:szCs w:val="21"/>
              </w:rPr>
              <w:t>未</w:t>
            </w:r>
            <w:r>
              <w:rPr>
                <w:rFonts w:ascii="Times New Roman" w:hAnsi="Times New Roman"/>
                <w:szCs w:val="21"/>
              </w:rPr>
              <w:t>提供两套</w:t>
            </w:r>
            <w:r>
              <w:rPr>
                <w:rFonts w:hint="eastAsia" w:ascii="Times New Roman" w:hAnsi="Times New Roman"/>
                <w:szCs w:val="21"/>
              </w:rPr>
              <w:t>及</w:t>
            </w:r>
            <w:r>
              <w:rPr>
                <w:rFonts w:ascii="Times New Roman" w:hAnsi="Times New Roman"/>
                <w:szCs w:val="21"/>
              </w:rPr>
              <w:t>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rFonts w:ascii="Times New Roman" w:hAnsi="Times New Roman"/>
                <w:szCs w:val="21"/>
              </w:rPr>
              <w:t>3</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ascii="Times New Roman" w:hAnsi="Times New Roman"/>
                <w:szCs w:val="21"/>
              </w:rPr>
              <w:t>分项报价或投标总价</w:t>
            </w:r>
            <w:r>
              <w:rPr>
                <w:rFonts w:hint="eastAsia" w:ascii="Times New Roman" w:hAnsi="Times New Roman"/>
                <w:szCs w:val="21"/>
              </w:rPr>
              <w:t>未超过</w:t>
            </w:r>
            <w:r>
              <w:rPr>
                <w:rFonts w:ascii="Times New Roman" w:hAnsi="Times New Roman"/>
                <w:szCs w:val="21"/>
              </w:rPr>
              <w:t>预算金额（最高投标限价）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rFonts w:ascii="Times New Roman" w:hAnsi="Times New Roman"/>
                <w:szCs w:val="21"/>
              </w:rPr>
              <w:t>4</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ascii="Times New Roman" w:hAnsi="Times New Roman"/>
                <w:szCs w:val="21"/>
              </w:rPr>
              <w:t>如评标委员会认为投标人的报价明显低于其他通过符合性审查投标人的报价，有可能影响产品质量或者不能诚信履约的，应当要求其在评标现场合理的时间内提供书面说明，必要时提交相关证明材料；投标人应证明其报价合理性（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rFonts w:ascii="Times New Roman" w:hAnsi="Times New Roman"/>
                <w:szCs w:val="21"/>
              </w:rPr>
              <w:t>5</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ascii="Times New Roman" w:hAnsi="Times New Roman"/>
                <w:szCs w:val="21"/>
              </w:rPr>
              <w:t>投标报价</w:t>
            </w:r>
            <w:r>
              <w:rPr>
                <w:rFonts w:hint="eastAsia" w:ascii="Times New Roman" w:hAnsi="Times New Roman"/>
                <w:szCs w:val="21"/>
              </w:rPr>
              <w:t>无</w:t>
            </w:r>
            <w:r>
              <w:rPr>
                <w:rFonts w:ascii="Times New Roman" w:hAnsi="Times New Roman"/>
                <w:szCs w:val="21"/>
              </w:rPr>
              <w:t>严重缺漏项目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rFonts w:hint="eastAsia" w:ascii="Times New Roman" w:hAnsi="Times New Roman"/>
                <w:szCs w:val="21"/>
              </w:rPr>
              <w:t>6</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ascii="Times New Roman" w:hAnsi="Times New Roman"/>
                <w:szCs w:val="21"/>
              </w:rPr>
              <w:t>所投产品、工程、服务在商务、技术等方面实质性满足招标文件要求（是否实质性满足招标文件要求，由评标委员会根据《</w:t>
            </w:r>
            <w:r>
              <w:rPr>
                <w:rFonts w:hint="eastAsia" w:ascii="Times New Roman" w:hAnsi="Times New Roman"/>
                <w:szCs w:val="21"/>
              </w:rPr>
              <w:t>实质性条款响应情况表</w:t>
            </w:r>
            <w:r>
              <w:rPr>
                <w:rFonts w:ascii="Times New Roman" w:hAnsi="Times New Roman"/>
                <w:szCs w:val="21"/>
              </w:rPr>
              <w:t>》做出评判）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rFonts w:hint="eastAsia" w:ascii="Times New Roman" w:hAnsi="Times New Roman"/>
                <w:szCs w:val="21"/>
              </w:rPr>
              <w:t>7</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ascii="Times New Roman" w:hAnsi="Times New Roman"/>
                <w:szCs w:val="21"/>
              </w:rPr>
              <w:t>按招标文件所提供的样式填写《投标函》；按招标文件所提供的《政府采购投标及履约承诺函》进行承诺；</w:t>
            </w:r>
            <w:r>
              <w:rPr>
                <w:rFonts w:hint="eastAsia" w:ascii="Times New Roman" w:hAnsi="Times New Roman"/>
                <w:szCs w:val="21"/>
              </w:rPr>
              <w:t>并</w:t>
            </w:r>
            <w:r>
              <w:rPr>
                <w:rFonts w:ascii="Times New Roman" w:hAnsi="Times New Roman"/>
                <w:szCs w:val="21"/>
              </w:rPr>
              <w:t>按招标文件对投标文件组成的要求提供投标文件（投标文件组成完整）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rFonts w:hint="eastAsia" w:ascii="Times New Roman" w:hAnsi="Times New Roman"/>
                <w:szCs w:val="21"/>
              </w:rPr>
              <w:t>8</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ascii="Times New Roman" w:hAnsi="Times New Roman"/>
                <w:szCs w:val="21"/>
              </w:rPr>
              <w:t>投标文件不存在列放位置错误，导致属于信息公开内容没有被公开的情形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rFonts w:hint="eastAsia" w:ascii="Times New Roman" w:hAnsi="Times New Roman"/>
                <w:szCs w:val="21"/>
              </w:rPr>
              <w:t>9</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szCs w:val="21"/>
              </w:rPr>
              <w:t>投标文件</w:t>
            </w:r>
            <w:r>
              <w:rPr>
                <w:rFonts w:hint="eastAsia"/>
                <w:szCs w:val="21"/>
              </w:rPr>
              <w:t>不存在</w:t>
            </w:r>
            <w:r>
              <w:rPr>
                <w:szCs w:val="21"/>
              </w:rPr>
              <w:t>电子文档带病毒</w:t>
            </w:r>
            <w:r>
              <w:rPr>
                <w:rFonts w:hint="eastAsia"/>
                <w:szCs w:val="21"/>
              </w:rPr>
              <w:t>或使</w:t>
            </w:r>
            <w:r>
              <w:rPr>
                <w:szCs w:val="21"/>
              </w:rPr>
              <w:t>用</w:t>
            </w:r>
            <w:r>
              <w:rPr>
                <w:rFonts w:hint="eastAsia"/>
                <w:szCs w:val="21"/>
              </w:rPr>
              <w:t>其他投标人</w:t>
            </w:r>
            <w:r>
              <w:rPr>
                <w:szCs w:val="21"/>
              </w:rPr>
              <w:t>的电子密钥进行加密</w:t>
            </w:r>
            <w:r>
              <w:rPr>
                <w:rFonts w:hint="eastAsia"/>
                <w:szCs w:val="21"/>
              </w:rPr>
              <w:t>的情形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rFonts w:ascii="Times New Roman" w:hAnsi="Times New Roman"/>
                <w:szCs w:val="21"/>
              </w:rPr>
              <w:t>1</w:t>
            </w:r>
            <w:r>
              <w:rPr>
                <w:rFonts w:hint="eastAsia" w:ascii="Times New Roman" w:hAnsi="Times New Roman"/>
                <w:szCs w:val="21"/>
              </w:rPr>
              <w:t>0</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ascii="Times New Roman" w:hAnsi="Times New Roman"/>
                <w:szCs w:val="24"/>
              </w:rPr>
              <w:t>法律、法规、规章、规范性文件规定的其他情形</w:t>
            </w:r>
          </w:p>
        </w:tc>
      </w:tr>
    </w:tbl>
    <w:p>
      <w:pPr>
        <w:spacing w:line="324" w:lineRule="auto"/>
        <w:ind w:firstLine="420"/>
        <w:rPr>
          <w:rFonts w:ascii="Times New Roman" w:hAnsi="Times New Roman"/>
          <w:b/>
          <w:color w:val="FF0000"/>
          <w:szCs w:val="21"/>
        </w:rPr>
      </w:pPr>
      <w:r>
        <w:rPr>
          <w:rFonts w:hint="eastAsia" w:ascii="Times New Roman" w:hAnsi="Times New Roman"/>
          <w:b/>
          <w:color w:val="FF0000"/>
          <w:szCs w:val="21"/>
        </w:rPr>
        <w:t>特别说明：</w:t>
      </w:r>
    </w:p>
    <w:p>
      <w:pPr>
        <w:spacing w:line="324" w:lineRule="auto"/>
        <w:ind w:firstLine="42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1、投标人须在开标当日的开标时间至解密截止时间内完成投标文件在线解密，逾期未解密的作无效处理。</w:t>
      </w:r>
    </w:p>
    <w:p>
      <w:pPr>
        <w:spacing w:line="324" w:lineRule="auto"/>
        <w:ind w:firstLine="42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2、投标人不符合《资格性审查表》或《符合性审查表》中任一情形的，初审不通过，投标无效。</w:t>
      </w:r>
    </w:p>
    <w:p>
      <w:pPr>
        <w:spacing w:line="324" w:lineRule="auto"/>
        <w:ind w:firstLine="42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3、评标系统执行标书雷同性分析，包括分析文件制作机器码、文件创建标识码、IP地址是否一致，以及文本内容相似度分析，供评标委员会参考。</w:t>
      </w:r>
    </w:p>
    <w:p>
      <w:pPr>
        <w:spacing w:line="324" w:lineRule="auto"/>
        <w:ind w:firstLine="420"/>
        <w:rPr>
          <w:rFonts w:asciiTheme="minorEastAsia" w:hAnsiTheme="minorEastAsia" w:eastAsiaTheme="minorEastAsia"/>
          <w:b/>
          <w:color w:val="FF0000"/>
          <w:szCs w:val="21"/>
        </w:rPr>
      </w:pPr>
    </w:p>
    <w:p>
      <w:pPr>
        <w:pStyle w:val="38"/>
        <w:jc w:val="center"/>
        <w:outlineLvl w:val="1"/>
        <w:rPr>
          <w:rFonts w:ascii="黑体" w:hAnsi="黑体" w:eastAsia="黑体"/>
          <w:sz w:val="40"/>
          <w:szCs w:val="40"/>
        </w:rPr>
      </w:pPr>
      <w:r>
        <w:rPr>
          <w:rFonts w:hint="eastAsia" w:ascii="黑体" w:hAnsi="黑体" w:eastAsia="黑体"/>
          <w:sz w:val="40"/>
          <w:szCs w:val="40"/>
        </w:rPr>
        <w:t>评标信息</w:t>
      </w:r>
    </w:p>
    <w:tbl>
      <w:tblPr>
        <w:tblStyle w:val="43"/>
        <w:tblW w:w="9072" w:type="dxa"/>
        <w:jc w:val="center"/>
        <w:tblCellSpacing w:w="0" w:type="dxa"/>
        <w:tblLayout w:type="fixed"/>
        <w:tblCellMar>
          <w:top w:w="45" w:type="dxa"/>
          <w:left w:w="45" w:type="dxa"/>
          <w:bottom w:w="45" w:type="dxa"/>
          <w:right w:w="45" w:type="dxa"/>
        </w:tblCellMar>
      </w:tblPr>
      <w:tblGrid>
        <w:gridCol w:w="8829"/>
        <w:gridCol w:w="243"/>
      </w:tblGrid>
      <w:tr>
        <w:tblPrEx>
          <w:tblCellMar>
            <w:top w:w="45" w:type="dxa"/>
            <w:left w:w="45" w:type="dxa"/>
            <w:bottom w:w="45" w:type="dxa"/>
            <w:right w:w="45" w:type="dxa"/>
          </w:tblCellMar>
        </w:tblPrEx>
        <w:trPr>
          <w:tblCellSpacing w:w="0" w:type="dxa"/>
          <w:jc w:val="center"/>
        </w:trPr>
        <w:tc>
          <w:tcPr>
            <w:tcW w:w="8829" w:type="dxa"/>
            <w:tcBorders>
              <w:top w:val="nil"/>
              <w:left w:val="nil"/>
              <w:bottom w:val="nil"/>
              <w:right w:val="nil"/>
            </w:tcBorders>
            <w:vAlign w:val="center"/>
          </w:tcPr>
          <w:p>
            <w:pPr>
              <w:rPr>
                <w:rFonts w:ascii="宋体" w:hAnsi="宋体" w:cs="宋体"/>
                <w:b/>
                <w:bCs/>
                <w:sz w:val="24"/>
                <w:szCs w:val="24"/>
              </w:rPr>
            </w:pPr>
            <w:r>
              <w:rPr>
                <w:b/>
                <w:bCs/>
              </w:rPr>
              <w:t>评标方法：综合评分法（新价格分算法）</w:t>
            </w:r>
          </w:p>
        </w:tc>
        <w:tc>
          <w:tcPr>
            <w:tcW w:w="243" w:type="dxa"/>
            <w:tcBorders>
              <w:top w:val="nil"/>
              <w:left w:val="nil"/>
              <w:bottom w:val="nil"/>
              <w:right w:val="nil"/>
            </w:tcBorders>
            <w:vAlign w:val="center"/>
          </w:tcPr>
          <w:p>
            <w:pPr>
              <w:jc w:val="right"/>
              <w:rPr>
                <w:rFonts w:ascii="宋体" w:hAnsi="宋体" w:cs="宋体"/>
                <w:b/>
                <w:bCs/>
                <w:sz w:val="24"/>
                <w:szCs w:val="24"/>
              </w:rPr>
            </w:pPr>
          </w:p>
        </w:tc>
      </w:tr>
      <w:tr>
        <w:tblPrEx>
          <w:tblCellMar>
            <w:top w:w="45" w:type="dxa"/>
            <w:left w:w="45" w:type="dxa"/>
            <w:bottom w:w="45" w:type="dxa"/>
            <w:right w:w="45" w:type="dxa"/>
          </w:tblCellMar>
        </w:tblPrEx>
        <w:trPr>
          <w:tblCellSpacing w:w="0" w:type="dxa"/>
          <w:jc w:val="center"/>
        </w:trPr>
        <w:tc>
          <w:tcPr>
            <w:tcW w:w="9072" w:type="dxa"/>
            <w:gridSpan w:val="2"/>
            <w:tcBorders>
              <w:top w:val="nil"/>
              <w:left w:val="nil"/>
              <w:bottom w:val="nil"/>
              <w:right w:val="nil"/>
            </w:tcBorders>
            <w:vAlign w:val="center"/>
          </w:tcPr>
          <w:p>
            <w:pPr>
              <w:pStyle w:val="38"/>
              <w:spacing w:line="324" w:lineRule="auto"/>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pPr>
              <w:pStyle w:val="38"/>
              <w:ind w:firstLine="420"/>
              <w:rPr>
                <w:sz w:val="21"/>
                <w:szCs w:val="21"/>
              </w:rPr>
            </w:pPr>
            <w:r>
              <w:rPr>
                <w:sz w:val="21"/>
                <w:szCs w:val="21"/>
              </w:rPr>
              <w:t>价格分计算方法：</w:t>
            </w:r>
          </w:p>
          <w:p>
            <w:pPr>
              <w:pStyle w:val="38"/>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 xml:space="preserve">评标过程中，不得去掉报价中的最高报价和最低报价。 </w:t>
            </w:r>
            <w:r>
              <w:rPr>
                <w:sz w:val="21"/>
                <w:szCs w:val="21"/>
              </w:rPr>
              <w:br w:type="textWrapping"/>
            </w:r>
            <w:r>
              <w:rPr>
                <w:sz w:val="21"/>
                <w:szCs w:val="21"/>
              </w:rPr>
              <w:t xml:space="preserve">此方法适用于货物类、服务类、工程类项目。 </w:t>
            </w:r>
          </w:p>
        </w:tc>
      </w:tr>
    </w:tbl>
    <w:p>
      <w:pPr>
        <w:rPr>
          <w:vanish/>
        </w:rPr>
      </w:pPr>
    </w:p>
    <w:tbl>
      <w:tblPr>
        <w:tblStyle w:val="43"/>
        <w:tblW w:w="96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2835"/>
        <w:gridCol w:w="681"/>
        <w:gridCol w:w="47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rPr>
              <w:t>评分项</w:t>
            </w:r>
          </w:p>
        </w:tc>
        <w:tc>
          <w:tcPr>
            <w:tcW w:w="4763"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b/>
                <w:bCs/>
                <w:color w:val="0000FF"/>
                <w:sz w:val="24"/>
                <w:szCs w:val="24"/>
              </w:rPr>
            </w:pPr>
            <w:r>
              <w:rPr>
                <w:rFonts w:hint="eastAsia" w:ascii="宋体" w:hAnsi="宋体" w:eastAsia="宋体" w:cs="宋体"/>
                <w:b/>
                <w:bCs/>
                <w:color w:val="0000FF"/>
              </w:rPr>
              <w:t>1</w:t>
            </w:r>
          </w:p>
        </w:tc>
        <w:tc>
          <w:tcPr>
            <w:tcW w:w="4196" w:type="dxa"/>
            <w:gridSpan w:val="3"/>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b/>
                <w:bCs/>
                <w:color w:val="0000FF"/>
                <w:sz w:val="24"/>
                <w:szCs w:val="24"/>
              </w:rPr>
            </w:pPr>
            <w:r>
              <w:rPr>
                <w:rFonts w:hint="eastAsia" w:ascii="宋体" w:hAnsi="宋体" w:eastAsia="宋体" w:cs="宋体"/>
                <w:b/>
                <w:bCs/>
                <w:color w:val="0000FF"/>
              </w:rPr>
              <w:t>价格</w:t>
            </w:r>
          </w:p>
        </w:tc>
        <w:tc>
          <w:tcPr>
            <w:tcW w:w="4763"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b/>
                <w:bCs/>
                <w:color w:val="0000FF"/>
                <w:sz w:val="24"/>
                <w:szCs w:val="24"/>
              </w:rPr>
            </w:pPr>
            <w:r>
              <w:rPr>
                <w:rFonts w:hint="eastAsia" w:ascii="宋体" w:hAnsi="宋体" w:eastAsia="宋体" w:cs="宋体"/>
                <w:b/>
                <w:bCs/>
                <w:color w:val="0000FF"/>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exact"/>
              <w:rPr>
                <w:rFonts w:hint="eastAsia" w:ascii="宋体" w:hAnsi="宋体" w:eastAsia="宋体" w:cs="宋体"/>
                <w:b/>
                <w:bCs/>
                <w:color w:val="0000FF"/>
                <w:sz w:val="24"/>
                <w:szCs w:val="24"/>
              </w:rPr>
            </w:pPr>
          </w:p>
        </w:tc>
        <w:tc>
          <w:tcPr>
            <w:tcW w:w="8959" w:type="dxa"/>
            <w:gridSpan w:val="4"/>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b/>
                <w:bCs/>
                <w:color w:val="0000FF"/>
                <w:sz w:val="24"/>
                <w:szCs w:val="24"/>
              </w:rPr>
            </w:pPr>
            <w:r>
              <w:rPr>
                <w:rFonts w:hint="eastAsia" w:ascii="宋体" w:hAnsi="宋体" w:eastAsia="宋体" w:cs="宋体"/>
                <w:b/>
                <w:bCs/>
                <w:color w:val="0000FF"/>
              </w:rPr>
              <w:t>2</w:t>
            </w:r>
          </w:p>
        </w:tc>
        <w:tc>
          <w:tcPr>
            <w:tcW w:w="4196" w:type="dxa"/>
            <w:gridSpan w:val="3"/>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b/>
                <w:bCs/>
                <w:color w:val="0000FF"/>
                <w:sz w:val="24"/>
                <w:szCs w:val="24"/>
              </w:rPr>
            </w:pPr>
            <w:r>
              <w:rPr>
                <w:rFonts w:hint="eastAsia" w:ascii="宋体" w:hAnsi="宋体" w:eastAsia="宋体" w:cs="宋体"/>
                <w:b/>
                <w:bCs/>
                <w:color w:val="0000FF"/>
              </w:rPr>
              <w:t>技术</w:t>
            </w:r>
          </w:p>
        </w:tc>
        <w:tc>
          <w:tcPr>
            <w:tcW w:w="4763"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b/>
                <w:bCs/>
                <w:color w:val="0000FF"/>
                <w:sz w:val="24"/>
                <w:szCs w:val="24"/>
              </w:rPr>
            </w:pPr>
            <w:r>
              <w:rPr>
                <w:rFonts w:hint="eastAsia" w:ascii="宋体" w:hAnsi="宋体" w:eastAsia="宋体" w:cs="宋体"/>
                <w:b/>
                <w:bCs/>
                <w:color w:val="0000FF"/>
              </w:rP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exact"/>
              <w:rPr>
                <w:rFonts w:hint="eastAsia" w:ascii="宋体" w:hAnsi="宋体" w:eastAsia="宋体" w:cs="宋体"/>
                <w:b/>
                <w:bCs/>
                <w:color w:val="0000FF"/>
                <w:sz w:val="24"/>
                <w:szCs w:val="24"/>
              </w:rPr>
            </w:pPr>
          </w:p>
        </w:tc>
        <w:tc>
          <w:tcPr>
            <w:tcW w:w="8959" w:type="dxa"/>
            <w:gridSpan w:val="4"/>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360" w:lineRule="exact"/>
              <w:rPr>
                <w:rFonts w:hint="eastAsia" w:ascii="宋体" w:hAnsi="宋体" w:eastAsia="宋体" w:cs="宋体"/>
                <w:b/>
                <w:bCs/>
                <w:color w:val="0000FF"/>
                <w:sz w:val="24"/>
                <w:szCs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权重(%)</w:t>
            </w:r>
          </w:p>
        </w:tc>
        <w:tc>
          <w:tcPr>
            <w:tcW w:w="4763"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exact"/>
              <w:rPr>
                <w:rFonts w:hint="eastAsia"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szCs w:val="21"/>
              </w:rPr>
            </w:pPr>
            <w:r>
              <w:rPr>
                <w:rFonts w:hint="eastAsia" w:ascii="宋体" w:hAnsi="宋体" w:eastAsia="宋体" w:cs="宋体"/>
                <w:szCs w:val="21"/>
              </w:rPr>
              <w:t>1</w:t>
            </w:r>
          </w:p>
        </w:tc>
        <w:tc>
          <w:tcPr>
            <w:tcW w:w="2835"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r>
              <w:rPr>
                <w:rFonts w:hint="eastAsia" w:ascii="宋体" w:hAnsi="宋体" w:eastAsia="宋体" w:cs="宋体"/>
                <w:szCs w:val="21"/>
              </w:rPr>
              <w:t>标准体系框架</w:t>
            </w:r>
          </w:p>
        </w:tc>
        <w:tc>
          <w:tcPr>
            <w:tcW w:w="681"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szCs w:val="21"/>
              </w:rPr>
            </w:pPr>
            <w:r>
              <w:rPr>
                <w:rFonts w:hint="eastAsia" w:ascii="宋体" w:hAnsi="宋体" w:eastAsia="宋体" w:cs="宋体"/>
                <w:szCs w:val="21"/>
              </w:rPr>
              <w:t>20</w:t>
            </w:r>
          </w:p>
        </w:tc>
        <w:tc>
          <w:tcPr>
            <w:tcW w:w="4763"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r>
              <w:rPr>
                <w:rFonts w:hint="eastAsia" w:ascii="宋体" w:hAnsi="宋体" w:eastAsia="宋体" w:cs="宋体"/>
                <w:szCs w:val="21"/>
              </w:rPr>
              <w:t>（一）评分内容：</w:t>
            </w:r>
          </w:p>
          <w:p>
            <w:pPr>
              <w:autoSpaceDE w:val="0"/>
              <w:autoSpaceDN w:val="0"/>
              <w:adjustRightInd w:val="0"/>
              <w:spacing w:line="360" w:lineRule="exact"/>
              <w:rPr>
                <w:rFonts w:hint="eastAsia" w:ascii="宋体" w:hAnsi="宋体" w:eastAsia="宋体" w:cs="宋体"/>
                <w:kern w:val="0"/>
                <w:szCs w:val="21"/>
              </w:rPr>
            </w:pPr>
            <w:r>
              <w:rPr>
                <w:rFonts w:hint="eastAsia" w:ascii="宋体" w:hAnsi="宋体" w:eastAsia="宋体" w:cs="宋体"/>
                <w:kern w:val="0"/>
                <w:szCs w:val="21"/>
              </w:rPr>
              <w:t>根据项目背景和需求，考察投标人提供的深圳市智能汽车标准体系框架：</w:t>
            </w:r>
          </w:p>
          <w:p>
            <w:pPr>
              <w:autoSpaceDE w:val="0"/>
              <w:autoSpaceDN w:val="0"/>
              <w:adjustRightInd w:val="0"/>
              <w:spacing w:line="360" w:lineRule="exact"/>
              <w:rPr>
                <w:rFonts w:hint="eastAsia" w:ascii="宋体" w:hAnsi="宋体" w:eastAsia="宋体" w:cs="宋体"/>
                <w:kern w:val="0"/>
                <w:szCs w:val="21"/>
              </w:rPr>
            </w:pPr>
            <w:r>
              <w:rPr>
                <w:rFonts w:hint="eastAsia" w:ascii="宋体" w:hAnsi="宋体" w:eastAsia="宋体" w:cs="宋体"/>
                <w:kern w:val="0"/>
                <w:szCs w:val="21"/>
              </w:rPr>
              <w:t>（1）涵盖自动驾驶、车联网、安全等方面。</w:t>
            </w:r>
          </w:p>
          <w:p>
            <w:pPr>
              <w:autoSpaceDE w:val="0"/>
              <w:autoSpaceDN w:val="0"/>
              <w:adjustRightInd w:val="0"/>
              <w:spacing w:line="360" w:lineRule="exact"/>
              <w:rPr>
                <w:rFonts w:hint="eastAsia" w:ascii="宋体" w:hAnsi="宋体" w:eastAsia="宋体" w:cs="宋体"/>
                <w:kern w:val="0"/>
                <w:szCs w:val="21"/>
              </w:rPr>
            </w:pPr>
            <w:r>
              <w:rPr>
                <w:rFonts w:hint="eastAsia" w:ascii="宋体" w:hAnsi="宋体" w:eastAsia="宋体" w:cs="宋体"/>
                <w:kern w:val="0"/>
                <w:szCs w:val="21"/>
              </w:rPr>
              <w:t>（2）标准个数不少于5个。</w:t>
            </w:r>
          </w:p>
          <w:p>
            <w:pPr>
              <w:autoSpaceDE w:val="0"/>
              <w:autoSpaceDN w:val="0"/>
              <w:adjustRightInd w:val="0"/>
              <w:spacing w:line="360" w:lineRule="exact"/>
              <w:jc w:val="left"/>
              <w:rPr>
                <w:rFonts w:hint="eastAsia" w:ascii="宋体" w:hAnsi="宋体" w:eastAsia="宋体" w:cs="宋体"/>
                <w:kern w:val="0"/>
                <w:szCs w:val="21"/>
              </w:rPr>
            </w:pPr>
          </w:p>
          <w:p>
            <w:pPr>
              <w:autoSpaceDE w:val="0"/>
              <w:autoSpaceDN w:val="0"/>
              <w:adjustRightIn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（二）评分标准：</w:t>
            </w:r>
          </w:p>
          <w:p>
            <w:pPr>
              <w:spacing w:line="360" w:lineRule="exact"/>
              <w:rPr>
                <w:rFonts w:hint="eastAsia" w:ascii="宋体" w:hAnsi="宋体" w:eastAsia="宋体" w:cs="宋体"/>
                <w:szCs w:val="21"/>
              </w:rPr>
            </w:pPr>
            <w:r>
              <w:rPr>
                <w:rFonts w:hint="eastAsia" w:ascii="宋体" w:hAnsi="宋体" w:eastAsia="宋体" w:cs="宋体"/>
                <w:szCs w:val="21"/>
              </w:rPr>
              <w:t>标准体系框架方案包含以上两项内容得50分，缺少任意一项此项不得分。在此基础上，根据方案响应情况进一步评审：</w:t>
            </w:r>
          </w:p>
          <w:p>
            <w:pPr>
              <w:spacing w:line="360" w:lineRule="exact"/>
              <w:rPr>
                <w:rFonts w:hint="eastAsia" w:ascii="宋体" w:hAnsi="宋体" w:eastAsia="宋体" w:cs="宋体"/>
                <w:szCs w:val="21"/>
              </w:rPr>
            </w:pPr>
            <w:r>
              <w:rPr>
                <w:rFonts w:hint="eastAsia" w:ascii="宋体" w:hAnsi="宋体" w:eastAsia="宋体" w:cs="宋体"/>
                <w:szCs w:val="21"/>
              </w:rPr>
              <w:t>1.方案内容全面、具体，可行性高，加50分；</w:t>
            </w:r>
          </w:p>
          <w:p>
            <w:pPr>
              <w:spacing w:line="360" w:lineRule="exact"/>
              <w:rPr>
                <w:rFonts w:hint="eastAsia" w:ascii="宋体" w:hAnsi="宋体" w:eastAsia="宋体" w:cs="宋体"/>
                <w:szCs w:val="21"/>
              </w:rPr>
            </w:pPr>
            <w:r>
              <w:rPr>
                <w:rFonts w:hint="eastAsia" w:ascii="宋体" w:hAnsi="宋体" w:eastAsia="宋体" w:cs="宋体"/>
                <w:szCs w:val="21"/>
              </w:rPr>
              <w:t>2.方案内容较全面，可行性较高，加30分；</w:t>
            </w:r>
          </w:p>
          <w:p>
            <w:pPr>
              <w:spacing w:line="360" w:lineRule="exact"/>
              <w:rPr>
                <w:rFonts w:hint="eastAsia" w:ascii="宋体" w:hAnsi="宋体" w:eastAsia="宋体" w:cs="宋体"/>
                <w:szCs w:val="21"/>
              </w:rPr>
            </w:pPr>
            <w:r>
              <w:rPr>
                <w:rFonts w:hint="eastAsia" w:ascii="宋体" w:hAnsi="宋体" w:eastAsia="宋体" w:cs="宋体"/>
                <w:szCs w:val="21"/>
              </w:rPr>
              <w:t>3.方案全面性、可行性一般，加10分；</w:t>
            </w:r>
          </w:p>
          <w:p>
            <w:pPr>
              <w:spacing w:line="360" w:lineRule="exact"/>
              <w:rPr>
                <w:rFonts w:hint="eastAsia" w:ascii="宋体" w:hAnsi="宋体" w:eastAsia="宋体" w:cs="宋体"/>
                <w:szCs w:val="21"/>
              </w:rPr>
            </w:pPr>
            <w:r>
              <w:rPr>
                <w:rFonts w:hint="eastAsia" w:ascii="宋体" w:hAnsi="宋体" w:eastAsia="宋体" w:cs="宋体"/>
                <w:szCs w:val="21"/>
              </w:rPr>
              <w:t>4.方案不全，可行性低，不加分。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exact"/>
              <w:rPr>
                <w:rFonts w:hint="eastAsia"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szCs w:val="21"/>
              </w:rPr>
            </w:pPr>
            <w:r>
              <w:rPr>
                <w:rFonts w:hint="eastAsia" w:ascii="宋体" w:hAnsi="宋体" w:eastAsia="宋体" w:cs="宋体"/>
                <w:szCs w:val="21"/>
              </w:rPr>
              <w:t>2</w:t>
            </w:r>
          </w:p>
        </w:tc>
        <w:tc>
          <w:tcPr>
            <w:tcW w:w="2835"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r>
              <w:rPr>
                <w:rFonts w:hint="eastAsia" w:ascii="宋体" w:hAnsi="宋体" w:eastAsia="宋体" w:cs="宋体"/>
                <w:szCs w:val="21"/>
              </w:rPr>
              <w:t>质量保障措施及方案</w:t>
            </w:r>
          </w:p>
        </w:tc>
        <w:tc>
          <w:tcPr>
            <w:tcW w:w="681"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szCs w:val="21"/>
              </w:rPr>
            </w:pPr>
            <w:r>
              <w:rPr>
                <w:rFonts w:hint="eastAsia" w:ascii="宋体" w:hAnsi="宋体" w:eastAsia="宋体" w:cs="宋体"/>
                <w:szCs w:val="21"/>
              </w:rPr>
              <w:t>10</w:t>
            </w:r>
          </w:p>
        </w:tc>
        <w:tc>
          <w:tcPr>
            <w:tcW w:w="4763"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r>
              <w:rPr>
                <w:rFonts w:hint="eastAsia" w:ascii="宋体" w:hAnsi="宋体" w:eastAsia="宋体" w:cs="宋体"/>
                <w:szCs w:val="21"/>
              </w:rPr>
              <w:t>（一）评分内容：</w:t>
            </w:r>
          </w:p>
          <w:p>
            <w:pPr>
              <w:autoSpaceDE w:val="0"/>
              <w:autoSpaceDN w:val="0"/>
              <w:adjustRightInd w:val="0"/>
              <w:spacing w:line="360" w:lineRule="exact"/>
              <w:rPr>
                <w:rFonts w:hint="eastAsia" w:ascii="宋体" w:hAnsi="宋体" w:eastAsia="宋体" w:cs="宋体"/>
                <w:kern w:val="0"/>
                <w:szCs w:val="21"/>
              </w:rPr>
            </w:pPr>
            <w:r>
              <w:rPr>
                <w:rFonts w:hint="eastAsia" w:ascii="宋体" w:hAnsi="宋体" w:eastAsia="宋体" w:cs="宋体"/>
                <w:kern w:val="0"/>
                <w:szCs w:val="21"/>
              </w:rPr>
              <w:t>根据对项目的理解，考察投标人提供的质量保障措施及方案。包括但不限于以下内容：</w:t>
            </w:r>
          </w:p>
          <w:p>
            <w:pPr>
              <w:autoSpaceDE w:val="0"/>
              <w:autoSpaceDN w:val="0"/>
              <w:adjustRightInd w:val="0"/>
              <w:spacing w:line="360" w:lineRule="exact"/>
              <w:rPr>
                <w:rFonts w:hint="eastAsia" w:ascii="宋体" w:hAnsi="宋体" w:eastAsia="宋体" w:cs="宋体"/>
                <w:kern w:val="0"/>
                <w:szCs w:val="21"/>
              </w:rPr>
            </w:pPr>
            <w:r>
              <w:rPr>
                <w:rFonts w:hint="eastAsia" w:ascii="宋体" w:hAnsi="宋体" w:eastAsia="宋体" w:cs="宋体"/>
                <w:kern w:val="0"/>
                <w:szCs w:val="21"/>
              </w:rPr>
              <w:t>（1）给出分阶段项目时间安排、工作进度与阶段性成果；</w:t>
            </w:r>
          </w:p>
          <w:p>
            <w:pPr>
              <w:autoSpaceDE w:val="0"/>
              <w:autoSpaceDN w:val="0"/>
              <w:adjustRightInd w:val="0"/>
              <w:spacing w:line="360" w:lineRule="exact"/>
              <w:rPr>
                <w:rFonts w:hint="eastAsia" w:ascii="宋体" w:hAnsi="宋体" w:eastAsia="宋体" w:cs="宋体"/>
                <w:kern w:val="0"/>
                <w:szCs w:val="21"/>
              </w:rPr>
            </w:pPr>
            <w:r>
              <w:rPr>
                <w:rFonts w:hint="eastAsia" w:ascii="宋体" w:hAnsi="宋体" w:eastAsia="宋体" w:cs="宋体"/>
                <w:kern w:val="0"/>
                <w:szCs w:val="21"/>
              </w:rPr>
              <w:t>（2）详细阐述项目时间管理制度与措施；</w:t>
            </w:r>
          </w:p>
          <w:p>
            <w:pPr>
              <w:autoSpaceDE w:val="0"/>
              <w:autoSpaceDN w:val="0"/>
              <w:adjustRightInd w:val="0"/>
              <w:spacing w:line="360" w:lineRule="exact"/>
              <w:rPr>
                <w:rFonts w:hint="eastAsia" w:ascii="宋体" w:hAnsi="宋体" w:eastAsia="宋体" w:cs="宋体"/>
                <w:kern w:val="0"/>
                <w:szCs w:val="21"/>
              </w:rPr>
            </w:pPr>
            <w:r>
              <w:rPr>
                <w:rFonts w:hint="eastAsia" w:ascii="宋体" w:hAnsi="宋体" w:eastAsia="宋体" w:cs="宋体"/>
                <w:kern w:val="0"/>
                <w:szCs w:val="21"/>
              </w:rPr>
              <w:t>（3）详细阐述项目质量管理制度与措施。</w:t>
            </w:r>
          </w:p>
          <w:p>
            <w:pPr>
              <w:widowControl/>
              <w:snapToGrid w:val="0"/>
              <w:spacing w:line="360" w:lineRule="exact"/>
              <w:jc w:val="left"/>
              <w:rPr>
                <w:rFonts w:hint="eastAsia" w:ascii="宋体" w:hAnsi="宋体" w:eastAsia="宋体" w:cs="宋体"/>
                <w:kern w:val="0"/>
                <w:szCs w:val="21"/>
              </w:rPr>
            </w:pPr>
          </w:p>
          <w:p>
            <w:pPr>
              <w:widowControl/>
              <w:snapToGri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（二）评分标准：</w:t>
            </w:r>
          </w:p>
          <w:p>
            <w:pPr>
              <w:spacing w:line="360" w:lineRule="exact"/>
              <w:rPr>
                <w:rFonts w:hint="eastAsia" w:ascii="宋体" w:hAnsi="宋体" w:eastAsia="宋体" w:cs="宋体"/>
                <w:szCs w:val="21"/>
              </w:rPr>
            </w:pPr>
            <w:r>
              <w:rPr>
                <w:rFonts w:hint="eastAsia" w:ascii="宋体" w:hAnsi="宋体" w:eastAsia="宋体" w:cs="宋体"/>
                <w:szCs w:val="21"/>
              </w:rPr>
              <w:t>质量保障措施及方案包含以上三项内容得50分，缺少任意一项此项不得分。在此基础上，根据方案响应情况进一步评审：</w:t>
            </w:r>
          </w:p>
          <w:p>
            <w:pPr>
              <w:spacing w:line="360" w:lineRule="exact"/>
              <w:rPr>
                <w:rFonts w:hint="eastAsia" w:ascii="宋体" w:hAnsi="宋体" w:eastAsia="宋体" w:cs="宋体"/>
                <w:szCs w:val="21"/>
              </w:rPr>
            </w:pPr>
            <w:r>
              <w:rPr>
                <w:rFonts w:hint="eastAsia" w:ascii="宋体" w:hAnsi="宋体" w:eastAsia="宋体" w:cs="宋体"/>
                <w:szCs w:val="21"/>
              </w:rPr>
              <w:t>1.方案内容全面、具体，可行性高，加50分；</w:t>
            </w:r>
          </w:p>
          <w:p>
            <w:pPr>
              <w:spacing w:line="360" w:lineRule="exact"/>
              <w:rPr>
                <w:rFonts w:hint="eastAsia" w:ascii="宋体" w:hAnsi="宋体" w:eastAsia="宋体" w:cs="宋体"/>
                <w:szCs w:val="21"/>
              </w:rPr>
            </w:pPr>
            <w:r>
              <w:rPr>
                <w:rFonts w:hint="eastAsia" w:ascii="宋体" w:hAnsi="宋体" w:eastAsia="宋体" w:cs="宋体"/>
                <w:szCs w:val="21"/>
              </w:rPr>
              <w:t>2.方案内容较全面，可行性较高，加30分；</w:t>
            </w:r>
          </w:p>
          <w:p>
            <w:pPr>
              <w:spacing w:line="360" w:lineRule="exact"/>
              <w:rPr>
                <w:rFonts w:hint="eastAsia" w:ascii="宋体" w:hAnsi="宋体" w:eastAsia="宋体" w:cs="宋体"/>
                <w:szCs w:val="21"/>
              </w:rPr>
            </w:pPr>
            <w:r>
              <w:rPr>
                <w:rFonts w:hint="eastAsia" w:ascii="宋体" w:hAnsi="宋体" w:eastAsia="宋体" w:cs="宋体"/>
                <w:szCs w:val="21"/>
              </w:rPr>
              <w:t>3.方案全面性、可行性一般，加10分；</w:t>
            </w:r>
          </w:p>
          <w:p>
            <w:pPr>
              <w:spacing w:line="360" w:lineRule="exact"/>
              <w:rPr>
                <w:rFonts w:hint="eastAsia" w:ascii="宋体" w:hAnsi="宋体" w:eastAsia="宋体" w:cs="宋体"/>
                <w:szCs w:val="21"/>
              </w:rPr>
            </w:pPr>
            <w:r>
              <w:rPr>
                <w:rFonts w:hint="eastAsia" w:ascii="宋体" w:hAnsi="宋体" w:eastAsia="宋体" w:cs="宋体"/>
                <w:szCs w:val="21"/>
              </w:rPr>
              <w:t>4.方案不全，可行性低，不加分。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exact"/>
              <w:rPr>
                <w:rFonts w:hint="eastAsia"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szCs w:val="21"/>
              </w:rPr>
            </w:pPr>
            <w:r>
              <w:rPr>
                <w:rFonts w:hint="eastAsia" w:ascii="宋体" w:hAnsi="宋体" w:eastAsia="宋体" w:cs="宋体"/>
                <w:szCs w:val="21"/>
              </w:rPr>
              <w:t>3</w:t>
            </w:r>
          </w:p>
        </w:tc>
        <w:tc>
          <w:tcPr>
            <w:tcW w:w="2835"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r>
              <w:rPr>
                <w:rFonts w:hint="eastAsia" w:ascii="宋体" w:hAnsi="宋体" w:eastAsia="宋体" w:cs="宋体"/>
                <w:szCs w:val="21"/>
              </w:rPr>
              <w:t>投标人国际标准注册专家</w:t>
            </w:r>
          </w:p>
        </w:tc>
        <w:tc>
          <w:tcPr>
            <w:tcW w:w="681"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szCs w:val="21"/>
              </w:rPr>
            </w:pPr>
            <w:r>
              <w:rPr>
                <w:rFonts w:hint="eastAsia" w:ascii="宋体" w:hAnsi="宋体" w:eastAsia="宋体" w:cs="宋体"/>
                <w:szCs w:val="21"/>
              </w:rPr>
              <w:t>15</w:t>
            </w:r>
          </w:p>
        </w:tc>
        <w:tc>
          <w:tcPr>
            <w:tcW w:w="4763"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rPr>
            </w:pPr>
            <w:r>
              <w:rPr>
                <w:rFonts w:hint="eastAsia" w:ascii="宋体" w:hAnsi="宋体" w:eastAsia="宋体" w:cs="宋体"/>
              </w:rPr>
              <w:t>（一）评分内容：</w:t>
            </w:r>
          </w:p>
          <w:p>
            <w:pPr>
              <w:autoSpaceDE w:val="0"/>
              <w:autoSpaceDN w:val="0"/>
              <w:adjustRightInd w:val="0"/>
              <w:spacing w:line="360" w:lineRule="exact"/>
              <w:rPr>
                <w:rFonts w:hint="eastAsia" w:ascii="宋体" w:hAnsi="宋体" w:eastAsia="宋体" w:cs="宋体"/>
              </w:rPr>
            </w:pPr>
            <w:r>
              <w:rPr>
                <w:rFonts w:hint="eastAsia" w:ascii="宋体" w:hAnsi="宋体" w:eastAsia="宋体" w:cs="宋体"/>
              </w:rPr>
              <w:t>投标人具备国际标准注册专家5人得90分，在满足5人的基础上多</w:t>
            </w:r>
            <w:r>
              <w:rPr>
                <w:rFonts w:hint="eastAsia" w:ascii="宋体" w:hAnsi="宋体" w:cs="宋体"/>
                <w:lang w:val="en-US" w:eastAsia="zh-CN"/>
              </w:rPr>
              <w:t>提供</w:t>
            </w:r>
            <w:r>
              <w:rPr>
                <w:rFonts w:hint="eastAsia" w:ascii="宋体" w:hAnsi="宋体" w:eastAsia="宋体" w:cs="宋体"/>
              </w:rPr>
              <w:t>1人加5分，此项最高得100分。</w:t>
            </w:r>
          </w:p>
          <w:p>
            <w:pPr>
              <w:widowControl/>
              <w:snapToGrid/>
              <w:spacing w:line="360" w:lineRule="exact"/>
              <w:jc w:val="left"/>
              <w:rPr>
                <w:rFonts w:hint="eastAsia" w:ascii="宋体" w:hAnsi="宋体" w:eastAsia="宋体" w:cs="宋体"/>
              </w:rPr>
            </w:pPr>
          </w:p>
          <w:p>
            <w:pPr>
              <w:widowControl/>
              <w:snapToGrid/>
              <w:spacing w:line="360" w:lineRule="exact"/>
              <w:jc w:val="left"/>
              <w:rPr>
                <w:rFonts w:hint="eastAsia" w:ascii="宋体" w:hAnsi="宋体" w:eastAsia="宋体" w:cs="宋体"/>
              </w:rPr>
            </w:pPr>
            <w:r>
              <w:rPr>
                <w:rFonts w:hint="eastAsia" w:ascii="宋体" w:hAnsi="宋体" w:eastAsia="宋体" w:cs="宋体"/>
              </w:rPr>
              <w:t>（二）评分依据：</w:t>
            </w:r>
          </w:p>
          <w:p>
            <w:pPr>
              <w:spacing w:line="360" w:lineRule="exact"/>
              <w:rPr>
                <w:rFonts w:hint="eastAsia" w:ascii="宋体" w:hAnsi="宋体" w:eastAsia="宋体" w:cs="宋体"/>
              </w:rPr>
            </w:pPr>
            <w:r>
              <w:rPr>
                <w:rFonts w:hint="eastAsia" w:ascii="宋体" w:hAnsi="宋体" w:eastAsia="宋体" w:cs="宋体"/>
              </w:rPr>
              <w:t>1.提供</w:t>
            </w:r>
            <w:r>
              <w:rPr>
                <w:rFonts w:hint="eastAsia" w:ascii="宋体" w:hAnsi="宋体" w:cs="宋体"/>
                <w:lang w:val="en-US" w:eastAsia="zh-CN"/>
              </w:rPr>
              <w:t>上述</w:t>
            </w:r>
            <w:r>
              <w:rPr>
                <w:rFonts w:hint="eastAsia" w:ascii="宋体" w:hAnsi="宋体" w:eastAsia="宋体" w:cs="宋体"/>
              </w:rPr>
              <w:t>专家通过投标单位缴纳的载有社保部门公章的近三个月内任意一个月的个人社保证明，如供应商为新成立单位且成立时间不足一个月的，可提供加盖公章的情况说明或者证明材料亦视为符合。如为退休返聘人员则提供劳动合同或返聘协议；</w:t>
            </w:r>
          </w:p>
          <w:p>
            <w:pPr>
              <w:spacing w:line="360" w:lineRule="exact"/>
              <w:rPr>
                <w:rFonts w:hint="eastAsia" w:ascii="宋体" w:hAnsi="宋体" w:eastAsia="宋体" w:cs="宋体"/>
                <w:lang w:val="en-US" w:eastAsia="zh-CN"/>
              </w:rPr>
            </w:pPr>
            <w:r>
              <w:rPr>
                <w:rFonts w:hint="eastAsia" w:ascii="宋体" w:hAnsi="宋体" w:eastAsia="宋体" w:cs="宋体"/>
              </w:rPr>
              <w:t>2.供应商需提供国际标准注册专家</w:t>
            </w:r>
            <w:r>
              <w:rPr>
                <w:rFonts w:hint="eastAsia" w:ascii="宋体" w:hAnsi="宋体" w:cs="宋体"/>
                <w:lang w:val="en-US" w:eastAsia="zh-CN"/>
              </w:rPr>
              <w:t>的</w:t>
            </w:r>
            <w:r>
              <w:rPr>
                <w:rFonts w:hint="eastAsia" w:ascii="宋体" w:hAnsi="宋体" w:eastAsia="宋体" w:cs="宋体"/>
              </w:rPr>
              <w:t>证明材料</w:t>
            </w:r>
            <w:r>
              <w:rPr>
                <w:rFonts w:hint="eastAsia" w:ascii="宋体" w:hAnsi="宋体" w:eastAsia="宋体" w:cs="宋体"/>
                <w:lang w:eastAsia="zh-CN"/>
              </w:rPr>
              <w:t>（</w:t>
            </w:r>
            <w:r>
              <w:rPr>
                <w:rFonts w:hint="eastAsia" w:ascii="宋体" w:hAnsi="宋体" w:eastAsia="宋体" w:cs="宋体"/>
                <w:lang w:val="en-US" w:eastAsia="zh-CN"/>
              </w:rPr>
              <w:t>如国际标准注册专家证书、正式通知文件或其他能证明身份的资料</w:t>
            </w:r>
            <w:r>
              <w:rPr>
                <w:rFonts w:hint="eastAsia" w:ascii="宋体" w:hAnsi="宋体" w:eastAsia="宋体" w:cs="宋体"/>
                <w:lang w:eastAsia="zh-CN"/>
              </w:rPr>
              <w:t>）</w:t>
            </w:r>
            <w:r>
              <w:rPr>
                <w:rFonts w:hint="eastAsia" w:ascii="宋体" w:hAnsi="宋体" w:eastAsia="宋体" w:cs="宋体"/>
              </w:rPr>
              <w:t>作为得分依据；</w:t>
            </w:r>
          </w:p>
          <w:p>
            <w:pPr>
              <w:spacing w:line="360" w:lineRule="exact"/>
              <w:rPr>
                <w:rFonts w:hint="eastAsia" w:ascii="宋体" w:hAnsi="宋体" w:eastAsia="宋体" w:cs="宋体"/>
              </w:rPr>
            </w:pPr>
            <w:r>
              <w:rPr>
                <w:rFonts w:hint="eastAsia" w:ascii="宋体" w:hAnsi="宋体" w:eastAsia="宋体" w:cs="宋体"/>
              </w:rPr>
              <w:t>3.提供以上证明文件扫描件，如涉及网站截图或照片等证明材料,需提供清晰图片,原件备查。未按要求提供有效证明材料或提供不清晰导致评委无法识别的不计得分。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exact"/>
              <w:rPr>
                <w:rFonts w:hint="eastAsia"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szCs w:val="21"/>
              </w:rPr>
            </w:pPr>
            <w:r>
              <w:rPr>
                <w:rFonts w:hint="eastAsia" w:ascii="宋体" w:hAnsi="宋体" w:eastAsia="宋体" w:cs="宋体"/>
                <w:szCs w:val="21"/>
              </w:rPr>
              <w:t>4</w:t>
            </w:r>
          </w:p>
        </w:tc>
        <w:tc>
          <w:tcPr>
            <w:tcW w:w="2835"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lang w:val="en-US" w:eastAsia="zh-CN"/>
              </w:rPr>
              <w:t>参与</w:t>
            </w:r>
            <w:r>
              <w:rPr>
                <w:rFonts w:hint="eastAsia" w:ascii="宋体" w:hAnsi="宋体" w:eastAsia="宋体" w:cs="宋体"/>
                <w:szCs w:val="21"/>
              </w:rPr>
              <w:t>智能网联汽车相关国际、国家标准</w:t>
            </w:r>
          </w:p>
        </w:tc>
        <w:tc>
          <w:tcPr>
            <w:tcW w:w="681"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szCs w:val="21"/>
              </w:rPr>
            </w:pPr>
            <w:r>
              <w:rPr>
                <w:rFonts w:hint="eastAsia" w:ascii="宋体" w:hAnsi="宋体" w:eastAsia="宋体" w:cs="宋体"/>
                <w:szCs w:val="21"/>
              </w:rPr>
              <w:t>10</w:t>
            </w:r>
          </w:p>
        </w:tc>
        <w:tc>
          <w:tcPr>
            <w:tcW w:w="4763"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rPr>
            </w:pPr>
            <w:r>
              <w:rPr>
                <w:rFonts w:hint="eastAsia" w:ascii="宋体" w:hAnsi="宋体" w:eastAsia="宋体" w:cs="宋体"/>
              </w:rPr>
              <w:t>（一）评分内容：</w:t>
            </w:r>
          </w:p>
          <w:p>
            <w:pPr>
              <w:autoSpaceDE w:val="0"/>
              <w:autoSpaceDN w:val="0"/>
              <w:adjustRightInd w:val="0"/>
              <w:spacing w:line="360" w:lineRule="exact"/>
              <w:rPr>
                <w:rFonts w:hint="eastAsia" w:ascii="宋体" w:hAnsi="宋体" w:eastAsia="宋体" w:cs="宋体"/>
              </w:rPr>
            </w:pPr>
            <w:r>
              <w:rPr>
                <w:rFonts w:hint="eastAsia" w:ascii="宋体" w:hAnsi="宋体" w:eastAsia="宋体" w:cs="宋体"/>
              </w:rPr>
              <w:t>投标人或该单位人员具有</w:t>
            </w:r>
            <w:r>
              <w:rPr>
                <w:rFonts w:hint="eastAsia" w:ascii="宋体" w:hAnsi="宋体" w:eastAsia="宋体" w:cs="宋体"/>
                <w:lang w:val="en-US" w:eastAsia="zh-CN"/>
              </w:rPr>
              <w:t>参与3</w:t>
            </w:r>
            <w:r>
              <w:rPr>
                <w:rFonts w:hint="eastAsia" w:ascii="宋体" w:hAnsi="宋体" w:eastAsia="宋体" w:cs="宋体"/>
              </w:rPr>
              <w:t>项及以上智能网联汽车</w:t>
            </w:r>
            <w:r>
              <w:rPr>
                <w:rFonts w:hint="eastAsia" w:ascii="宋体" w:hAnsi="宋体" w:eastAsia="宋体" w:cs="宋体"/>
                <w:lang w:val="en-US" w:eastAsia="zh-CN"/>
              </w:rPr>
              <w:t>已经发布</w:t>
            </w:r>
            <w:r>
              <w:rPr>
                <w:rFonts w:hint="eastAsia" w:ascii="宋体" w:hAnsi="宋体" w:cs="宋体"/>
                <w:lang w:val="en-US" w:eastAsia="zh-CN"/>
              </w:rPr>
              <w:t>的</w:t>
            </w:r>
            <w:r>
              <w:rPr>
                <w:rFonts w:hint="eastAsia" w:ascii="宋体" w:hAnsi="宋体" w:eastAsia="宋体" w:cs="宋体"/>
              </w:rPr>
              <w:t>相关国际、国家标准</w:t>
            </w:r>
            <w:r>
              <w:rPr>
                <w:rFonts w:hint="eastAsia" w:ascii="宋体" w:hAnsi="宋体" w:eastAsia="宋体" w:cs="宋体"/>
                <w:lang w:val="en-US" w:eastAsia="zh-CN"/>
              </w:rPr>
              <w:t>且起草人员排名在前15</w:t>
            </w:r>
            <w:r>
              <w:rPr>
                <w:rFonts w:hint="eastAsia" w:ascii="宋体" w:hAnsi="宋体" w:cs="宋体"/>
                <w:lang w:val="en-US" w:eastAsia="zh-CN"/>
              </w:rPr>
              <w:t>的，</w:t>
            </w:r>
            <w:r>
              <w:rPr>
                <w:rFonts w:hint="eastAsia" w:ascii="宋体" w:hAnsi="宋体" w:eastAsia="宋体" w:cs="宋体"/>
              </w:rPr>
              <w:t>得90分，在满足</w:t>
            </w:r>
            <w:r>
              <w:rPr>
                <w:rFonts w:hint="eastAsia" w:ascii="宋体" w:hAnsi="宋体" w:cs="宋体"/>
                <w:lang w:val="en-US" w:eastAsia="zh-CN"/>
              </w:rPr>
              <w:t>其</w:t>
            </w:r>
            <w:r>
              <w:rPr>
                <w:rFonts w:hint="eastAsia" w:ascii="宋体" w:hAnsi="宋体" w:eastAsia="宋体" w:cs="宋体"/>
                <w:lang w:val="en-US" w:eastAsia="zh-CN"/>
              </w:rPr>
              <w:t>3</w:t>
            </w:r>
            <w:r>
              <w:rPr>
                <w:rFonts w:hint="eastAsia" w:ascii="宋体" w:hAnsi="宋体" w:eastAsia="宋体" w:cs="宋体"/>
              </w:rPr>
              <w:t>项的基础上多</w:t>
            </w:r>
            <w:r>
              <w:rPr>
                <w:rFonts w:hint="eastAsia" w:ascii="宋体" w:hAnsi="宋体" w:cs="宋体"/>
                <w:lang w:val="en-US" w:eastAsia="zh-CN"/>
              </w:rPr>
              <w:t>提供</w:t>
            </w:r>
            <w:r>
              <w:rPr>
                <w:rFonts w:hint="eastAsia" w:ascii="宋体" w:hAnsi="宋体" w:eastAsia="宋体" w:cs="宋体"/>
              </w:rPr>
              <w:t>1项加5分，此项最高得100分。</w:t>
            </w:r>
          </w:p>
          <w:p>
            <w:pPr>
              <w:widowControl/>
              <w:snapToGrid/>
              <w:spacing w:line="360" w:lineRule="exact"/>
              <w:jc w:val="left"/>
              <w:rPr>
                <w:rFonts w:hint="eastAsia" w:ascii="宋体" w:hAnsi="宋体" w:eastAsia="宋体" w:cs="宋体"/>
              </w:rPr>
            </w:pPr>
          </w:p>
          <w:p>
            <w:pPr>
              <w:widowControl/>
              <w:snapToGrid/>
              <w:spacing w:line="360" w:lineRule="exact"/>
              <w:jc w:val="left"/>
              <w:rPr>
                <w:rFonts w:hint="eastAsia" w:ascii="宋体" w:hAnsi="宋体" w:eastAsia="宋体" w:cs="宋体"/>
              </w:rPr>
            </w:pPr>
            <w:r>
              <w:rPr>
                <w:rFonts w:hint="eastAsia" w:ascii="宋体" w:hAnsi="宋体" w:eastAsia="宋体" w:cs="宋体"/>
              </w:rPr>
              <w:t>（二）评分依据：</w:t>
            </w:r>
          </w:p>
          <w:p>
            <w:pPr>
              <w:spacing w:line="360" w:lineRule="exact"/>
              <w:rPr>
                <w:rFonts w:hint="eastAsia" w:ascii="宋体" w:hAnsi="宋体" w:eastAsia="宋体" w:cs="宋体"/>
              </w:rPr>
            </w:pPr>
            <w:r>
              <w:rPr>
                <w:rFonts w:hint="eastAsia" w:ascii="宋体" w:hAnsi="宋体" w:eastAsia="宋体" w:cs="宋体"/>
              </w:rPr>
              <w:t>1.如为投标人单位人员</w:t>
            </w:r>
            <w:r>
              <w:rPr>
                <w:rFonts w:hint="eastAsia" w:ascii="宋体" w:hAnsi="宋体" w:eastAsia="宋体" w:cs="宋体"/>
                <w:lang w:val="en-US" w:eastAsia="zh-CN"/>
              </w:rPr>
              <w:t>参与</w:t>
            </w:r>
            <w:r>
              <w:rPr>
                <w:rFonts w:hint="eastAsia" w:ascii="宋体" w:hAnsi="宋体" w:eastAsia="宋体" w:cs="宋体"/>
              </w:rPr>
              <w:t>的需提供该人员通过投标单位缴纳的载有社保部门公章的近三个月内任意一个月的个人社保证明，如供应商为新成立单位且成立时间不足一个月的，可提供加盖公章的情况说明或者证明材料亦视为符合。如为退休返聘人员则提供劳动合同或返聘协议；</w:t>
            </w:r>
          </w:p>
          <w:p>
            <w:pPr>
              <w:spacing w:line="360" w:lineRule="exact"/>
              <w:rPr>
                <w:rFonts w:hint="eastAsia" w:ascii="宋体" w:hAnsi="宋体" w:eastAsia="宋体" w:cs="宋体"/>
              </w:rPr>
            </w:pPr>
            <w:r>
              <w:rPr>
                <w:rFonts w:hint="eastAsia" w:ascii="宋体" w:hAnsi="宋体" w:eastAsia="宋体" w:cs="宋体"/>
              </w:rPr>
              <w:t>2.供应商需提供</w:t>
            </w:r>
            <w:r>
              <w:rPr>
                <w:rFonts w:hint="eastAsia" w:ascii="宋体" w:hAnsi="宋体" w:cs="宋体"/>
                <w:lang w:val="en-US" w:eastAsia="zh-CN"/>
              </w:rPr>
              <w:t>相关</w:t>
            </w:r>
            <w:r>
              <w:rPr>
                <w:rFonts w:hint="eastAsia" w:ascii="宋体" w:hAnsi="宋体" w:eastAsia="宋体" w:cs="宋体"/>
              </w:rPr>
              <w:t>证明材料</w:t>
            </w:r>
            <w:r>
              <w:rPr>
                <w:rFonts w:hint="eastAsia" w:ascii="宋体" w:hAnsi="宋体" w:eastAsia="宋体" w:cs="宋体"/>
                <w:lang w:eastAsia="zh-CN"/>
              </w:rPr>
              <w:t>（</w:t>
            </w:r>
            <w:r>
              <w:rPr>
                <w:rFonts w:hint="eastAsia" w:ascii="宋体" w:hAnsi="宋体" w:eastAsia="宋体" w:cs="宋体"/>
                <w:lang w:val="en-US" w:eastAsia="zh-CN"/>
              </w:rPr>
              <w:t>如已发布标准的标准文本中首页、含起草单位、起草人员页</w:t>
            </w:r>
            <w:r>
              <w:rPr>
                <w:rFonts w:hint="eastAsia" w:ascii="宋体" w:hAnsi="宋体" w:eastAsia="宋体" w:cs="宋体"/>
                <w:lang w:eastAsia="zh-CN"/>
              </w:rPr>
              <w:t>）</w:t>
            </w:r>
            <w:r>
              <w:rPr>
                <w:rFonts w:hint="eastAsia" w:ascii="宋体" w:hAnsi="宋体" w:eastAsia="宋体" w:cs="宋体"/>
              </w:rPr>
              <w:t>作为得分依据；</w:t>
            </w:r>
          </w:p>
          <w:p>
            <w:pPr>
              <w:spacing w:line="360" w:lineRule="exact"/>
              <w:rPr>
                <w:rFonts w:hint="eastAsia" w:ascii="宋体" w:hAnsi="宋体" w:eastAsia="宋体" w:cs="宋体"/>
              </w:rPr>
            </w:pPr>
            <w:r>
              <w:rPr>
                <w:rFonts w:hint="eastAsia" w:ascii="宋体" w:hAnsi="宋体" w:eastAsia="宋体" w:cs="宋体"/>
              </w:rPr>
              <w:t>3.提供以上证明文件扫描件，如涉及网站截图或照片等证明材料,需提供清晰图片,原件备查。未按要求提供有效证明材料或提供不清晰导致评委无法识别的不计得分。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exact"/>
              <w:rPr>
                <w:rFonts w:hint="eastAsia"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szCs w:val="21"/>
              </w:rPr>
            </w:pPr>
            <w:r>
              <w:rPr>
                <w:rFonts w:hint="eastAsia" w:ascii="宋体" w:hAnsi="宋体" w:eastAsia="宋体" w:cs="宋体"/>
                <w:szCs w:val="21"/>
              </w:rPr>
              <w:t>5</w:t>
            </w:r>
          </w:p>
        </w:tc>
        <w:tc>
          <w:tcPr>
            <w:tcW w:w="2835"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r>
              <w:rPr>
                <w:rFonts w:hint="eastAsia" w:ascii="宋体" w:hAnsi="宋体" w:eastAsia="宋体" w:cs="宋体"/>
                <w:szCs w:val="21"/>
              </w:rPr>
              <w:t>项目经理（仅限1人）和项目团队成员（项目经理除外）</w:t>
            </w:r>
          </w:p>
        </w:tc>
        <w:tc>
          <w:tcPr>
            <w:tcW w:w="681"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szCs w:val="21"/>
              </w:rPr>
            </w:pPr>
            <w:r>
              <w:rPr>
                <w:rFonts w:hint="eastAsia" w:ascii="宋体" w:hAnsi="宋体" w:eastAsia="宋体" w:cs="宋体"/>
                <w:szCs w:val="21"/>
              </w:rPr>
              <w:t>5</w:t>
            </w:r>
          </w:p>
        </w:tc>
        <w:tc>
          <w:tcPr>
            <w:tcW w:w="4763"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r>
              <w:rPr>
                <w:rFonts w:hint="eastAsia" w:ascii="宋体" w:hAnsi="宋体" w:eastAsia="宋体" w:cs="宋体"/>
                <w:szCs w:val="21"/>
              </w:rPr>
              <w:t>（一）评分内容：</w:t>
            </w:r>
          </w:p>
          <w:p>
            <w:pPr>
              <w:autoSpaceDE w:val="0"/>
              <w:autoSpaceDN w:val="0"/>
              <w:adjustRightInd w:val="0"/>
              <w:spacing w:line="360" w:lineRule="exact"/>
              <w:rPr>
                <w:rFonts w:hint="eastAsia" w:ascii="宋体" w:hAnsi="宋体" w:eastAsia="宋体" w:cs="宋体"/>
                <w:szCs w:val="21"/>
              </w:rPr>
            </w:pPr>
            <w:r>
              <w:rPr>
                <w:rFonts w:hint="eastAsia" w:ascii="宋体" w:hAnsi="宋体" w:eastAsia="宋体" w:cs="宋体"/>
                <w:szCs w:val="21"/>
              </w:rPr>
              <w:t>拟安排的项目经理（仅限1人）和项目团队成员（项目经理除外）需为投标人自有员工，否则本项不得分。</w:t>
            </w:r>
          </w:p>
          <w:p>
            <w:pPr>
              <w:autoSpaceDE w:val="0"/>
              <w:autoSpaceDN w:val="0"/>
              <w:adjustRightInd w:val="0"/>
              <w:spacing w:line="360" w:lineRule="exact"/>
              <w:rPr>
                <w:rFonts w:hint="eastAsia" w:ascii="宋体" w:hAnsi="宋体" w:eastAsia="宋体" w:cs="宋体"/>
                <w:szCs w:val="21"/>
              </w:rPr>
            </w:pPr>
            <w:r>
              <w:rPr>
                <w:rFonts w:hint="eastAsia" w:ascii="宋体" w:hAnsi="宋体" w:eastAsia="宋体" w:cs="宋体"/>
                <w:szCs w:val="21"/>
              </w:rPr>
              <w:t>1.项目经理（仅限1人）：具备高级工程师或以上技术职称，得50分；</w:t>
            </w:r>
          </w:p>
          <w:p>
            <w:pPr>
              <w:widowControl/>
              <w:snapToGri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2.项目团队成员</w:t>
            </w:r>
            <w:r>
              <w:rPr>
                <w:rFonts w:hint="eastAsia" w:ascii="宋体" w:hAnsi="宋体" w:eastAsia="宋体" w:cs="宋体"/>
                <w:szCs w:val="21"/>
              </w:rPr>
              <w:t>（项目经理除外）</w:t>
            </w:r>
            <w:r>
              <w:rPr>
                <w:rFonts w:hint="eastAsia" w:ascii="宋体" w:hAnsi="宋体" w:eastAsia="宋体" w:cs="宋体"/>
                <w:kern w:val="0"/>
                <w:szCs w:val="21"/>
              </w:rPr>
              <w:t>具有5人且均具备工程师技术职称得20分，在满足5人的基础上每多</w:t>
            </w:r>
            <w:r>
              <w:rPr>
                <w:rFonts w:hint="eastAsia" w:ascii="宋体" w:hAnsi="宋体" w:cs="宋体"/>
                <w:kern w:val="0"/>
                <w:szCs w:val="21"/>
                <w:lang w:val="en-US" w:eastAsia="zh-CN"/>
              </w:rPr>
              <w:t>提供</w:t>
            </w:r>
            <w:r>
              <w:rPr>
                <w:rFonts w:hint="eastAsia" w:ascii="宋体" w:hAnsi="宋体" w:eastAsia="宋体" w:cs="宋体"/>
                <w:kern w:val="0"/>
                <w:szCs w:val="21"/>
              </w:rPr>
              <w:t>1人具备工程师技术职称加5分，此项最高得50分。</w:t>
            </w:r>
          </w:p>
          <w:p>
            <w:pPr>
              <w:widowControl/>
              <w:snapToGrid w:val="0"/>
              <w:spacing w:line="360" w:lineRule="exact"/>
              <w:jc w:val="left"/>
              <w:rPr>
                <w:rFonts w:hint="eastAsia" w:ascii="宋体" w:hAnsi="宋体" w:eastAsia="宋体" w:cs="宋体"/>
                <w:kern w:val="0"/>
                <w:szCs w:val="21"/>
              </w:rPr>
            </w:pPr>
          </w:p>
          <w:p>
            <w:pPr>
              <w:widowControl/>
              <w:snapToGri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（二）评分依据：</w:t>
            </w:r>
          </w:p>
          <w:p>
            <w:pPr>
              <w:spacing w:line="360" w:lineRule="exact"/>
              <w:rPr>
                <w:rFonts w:hint="eastAsia" w:ascii="宋体" w:hAnsi="宋体" w:eastAsia="宋体" w:cs="宋体"/>
                <w:szCs w:val="21"/>
              </w:rPr>
            </w:pPr>
            <w:r>
              <w:rPr>
                <w:rFonts w:hint="eastAsia" w:ascii="宋体" w:hAnsi="宋体" w:eastAsia="宋体" w:cs="宋体"/>
                <w:szCs w:val="21"/>
              </w:rPr>
              <w:t>1.提供上述人员通过投标单位缴纳的载有社保部门公章的近三个月内任意一个月的个人社保证明，如供应商为新成立单位且成立时间不足一个月的，可提供加盖公章的情况说明或者证明材料亦视为符合。如为退休返聘人员则提供劳动合同或返聘协议；</w:t>
            </w:r>
          </w:p>
          <w:p>
            <w:pPr>
              <w:spacing w:line="360" w:lineRule="exact"/>
              <w:rPr>
                <w:rFonts w:hint="eastAsia" w:ascii="宋体" w:hAnsi="宋体" w:eastAsia="宋体" w:cs="宋体"/>
                <w:szCs w:val="21"/>
              </w:rPr>
            </w:pPr>
            <w:r>
              <w:rPr>
                <w:rFonts w:hint="eastAsia" w:ascii="宋体" w:hAnsi="宋体" w:eastAsia="宋体" w:cs="宋体"/>
                <w:szCs w:val="21"/>
              </w:rPr>
              <w:t xml:space="preserve">2.提供上述人员相对应的职称证书作为得分依据； </w:t>
            </w:r>
          </w:p>
          <w:p>
            <w:pPr>
              <w:spacing w:line="360" w:lineRule="exact"/>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kern w:val="0"/>
                <w:szCs w:val="21"/>
              </w:rPr>
              <w:t>提供</w:t>
            </w:r>
            <w:r>
              <w:rPr>
                <w:rFonts w:hint="eastAsia" w:ascii="宋体" w:hAnsi="宋体" w:eastAsia="宋体" w:cs="宋体"/>
                <w:szCs w:val="21"/>
              </w:rPr>
              <w:t>以上证明文件</w:t>
            </w:r>
            <w:r>
              <w:rPr>
                <w:rFonts w:hint="eastAsia" w:ascii="宋体" w:hAnsi="宋体" w:eastAsia="宋体" w:cs="宋体"/>
                <w:kern w:val="0"/>
                <w:szCs w:val="21"/>
              </w:rPr>
              <w:t>扫描件，</w:t>
            </w:r>
            <w:r>
              <w:rPr>
                <w:rFonts w:hint="eastAsia" w:ascii="宋体" w:hAnsi="宋体" w:eastAsia="宋体" w:cs="宋体"/>
                <w:szCs w:val="21"/>
              </w:rPr>
              <w:t>如涉及网站截图或照片等证明材料,需提供清晰图片,</w:t>
            </w:r>
            <w:r>
              <w:rPr>
                <w:rFonts w:hint="eastAsia" w:ascii="宋体" w:hAnsi="宋体" w:eastAsia="宋体" w:cs="宋体"/>
                <w:kern w:val="0"/>
                <w:szCs w:val="21"/>
              </w:rPr>
              <w:t>原件备查</w:t>
            </w:r>
            <w:r>
              <w:rPr>
                <w:rFonts w:hint="eastAsia" w:ascii="宋体" w:hAnsi="宋体" w:eastAsia="宋体" w:cs="宋体"/>
                <w:szCs w:val="21"/>
              </w:rPr>
              <w:t>。未按要求提供有效证明材料或提供不清晰导致评委无法识别的不计得分。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pPr>
              <w:spacing w:line="360" w:lineRule="exact"/>
              <w:jc w:val="center"/>
              <w:rPr>
                <w:rFonts w:hint="eastAsia" w:ascii="宋体" w:hAnsi="宋体" w:eastAsia="宋体" w:cs="宋体"/>
                <w:b/>
                <w:bCs/>
                <w:color w:val="0000FF"/>
                <w:sz w:val="24"/>
                <w:szCs w:val="24"/>
              </w:rPr>
            </w:pPr>
            <w:r>
              <w:rPr>
                <w:rFonts w:hint="eastAsia" w:ascii="宋体" w:hAnsi="宋体" w:eastAsia="宋体" w:cs="宋体"/>
                <w:b/>
                <w:bCs/>
                <w:color w:val="0000FF"/>
              </w:rPr>
              <w:t>3</w:t>
            </w:r>
          </w:p>
        </w:tc>
        <w:tc>
          <w:tcPr>
            <w:tcW w:w="4196" w:type="dxa"/>
            <w:gridSpan w:val="3"/>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b/>
                <w:bCs/>
                <w:color w:val="0000FF"/>
                <w:sz w:val="24"/>
                <w:szCs w:val="24"/>
              </w:rPr>
            </w:pPr>
            <w:r>
              <w:rPr>
                <w:rFonts w:hint="eastAsia" w:ascii="宋体" w:hAnsi="宋体" w:eastAsia="宋体" w:cs="宋体"/>
                <w:b/>
                <w:bCs/>
                <w:color w:val="0000FF"/>
              </w:rPr>
              <w:t>商务</w:t>
            </w:r>
          </w:p>
        </w:tc>
        <w:tc>
          <w:tcPr>
            <w:tcW w:w="4763"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b/>
                <w:bCs/>
                <w:color w:val="0000FF"/>
                <w:sz w:val="24"/>
                <w:szCs w:val="24"/>
              </w:rPr>
            </w:pPr>
            <w:r>
              <w:rPr>
                <w:rFonts w:hint="eastAsia" w:ascii="宋体" w:hAnsi="宋体" w:eastAsia="宋体" w:cs="宋体"/>
                <w:b/>
                <w:bCs/>
                <w:color w:val="0000FF"/>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spacing w:line="360" w:lineRule="exact"/>
              <w:rPr>
                <w:rFonts w:hint="eastAsia" w:ascii="宋体" w:hAnsi="宋体" w:eastAsia="宋体" w:cs="宋体"/>
                <w:b/>
                <w:bCs/>
                <w:color w:val="0000FF"/>
                <w:sz w:val="24"/>
                <w:szCs w:val="24"/>
              </w:rPr>
            </w:pPr>
          </w:p>
        </w:tc>
        <w:tc>
          <w:tcPr>
            <w:tcW w:w="8959" w:type="dxa"/>
            <w:gridSpan w:val="4"/>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spacing w:line="360" w:lineRule="exact"/>
              <w:rPr>
                <w:rFonts w:hint="eastAsia" w:ascii="宋体" w:hAnsi="宋体" w:eastAsia="宋体" w:cs="宋体"/>
                <w:b/>
                <w:bCs/>
                <w:color w:val="0000FF"/>
                <w:sz w:val="24"/>
                <w:szCs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权重(%)</w:t>
            </w:r>
          </w:p>
        </w:tc>
        <w:tc>
          <w:tcPr>
            <w:tcW w:w="4763"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85" w:hRule="atLeast"/>
          <w:jc w:val="center"/>
        </w:trPr>
        <w:tc>
          <w:tcPr>
            <w:tcW w:w="680" w:type="dxa"/>
            <w:vMerge w:val="continue"/>
            <w:tcBorders>
              <w:left w:val="single" w:color="000000" w:sz="8" w:space="0"/>
              <w:right w:val="single" w:color="000000" w:sz="8" w:space="0"/>
            </w:tcBorders>
            <w:vAlign w:val="center"/>
          </w:tcPr>
          <w:p>
            <w:pPr>
              <w:spacing w:line="360" w:lineRule="exact"/>
              <w:rPr>
                <w:rFonts w:hint="eastAsia"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szCs w:val="21"/>
              </w:rPr>
            </w:pPr>
            <w:r>
              <w:rPr>
                <w:rFonts w:hint="eastAsia" w:ascii="宋体" w:hAnsi="宋体" w:eastAsia="宋体" w:cs="宋体"/>
                <w:szCs w:val="21"/>
              </w:rPr>
              <w:t>1</w:t>
            </w:r>
          </w:p>
        </w:tc>
        <w:tc>
          <w:tcPr>
            <w:tcW w:w="2835"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r>
              <w:rPr>
                <w:rFonts w:hint="eastAsia" w:ascii="宋体" w:hAnsi="宋体" w:eastAsia="宋体" w:cs="宋体"/>
                <w:szCs w:val="21"/>
              </w:rPr>
              <w:t>投标人行业资质</w:t>
            </w:r>
          </w:p>
        </w:tc>
        <w:tc>
          <w:tcPr>
            <w:tcW w:w="681"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szCs w:val="21"/>
              </w:rPr>
            </w:pPr>
            <w:r>
              <w:rPr>
                <w:rFonts w:hint="eastAsia" w:ascii="宋体" w:hAnsi="宋体" w:eastAsia="宋体" w:cs="宋体"/>
                <w:szCs w:val="21"/>
              </w:rPr>
              <w:t>10</w:t>
            </w:r>
          </w:p>
        </w:tc>
        <w:tc>
          <w:tcPr>
            <w:tcW w:w="4763"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r>
              <w:rPr>
                <w:rFonts w:hint="eastAsia" w:ascii="宋体" w:hAnsi="宋体" w:eastAsia="宋体" w:cs="宋体"/>
                <w:szCs w:val="21"/>
              </w:rPr>
              <w:t>（一）评分内容：</w:t>
            </w:r>
          </w:p>
          <w:p>
            <w:pPr>
              <w:widowControl/>
              <w:snapToGrid w:val="0"/>
              <w:spacing w:line="360" w:lineRule="exact"/>
              <w:jc w:val="left"/>
              <w:rPr>
                <w:rFonts w:hint="eastAsia" w:ascii="宋体" w:hAnsi="宋体" w:eastAsia="宋体" w:cs="宋体"/>
                <w:lang w:eastAsia="zh-CN"/>
              </w:rPr>
            </w:pPr>
            <w:r>
              <w:rPr>
                <w:rFonts w:hint="eastAsia" w:ascii="宋体" w:hAnsi="宋体" w:eastAsia="宋体" w:cs="宋体"/>
                <w:kern w:val="0"/>
                <w:szCs w:val="21"/>
              </w:rPr>
              <w:t>投标人具有国家检验检测机构资质认定（具备CNAS实验室资质和C</w:t>
            </w:r>
            <w:r>
              <w:rPr>
                <w:rFonts w:hint="eastAsia" w:ascii="宋体" w:hAnsi="宋体" w:eastAsia="宋体" w:cs="宋体"/>
                <w:kern w:val="0"/>
                <w:szCs w:val="21"/>
                <w:lang w:val="en-US" w:eastAsia="zh-CN"/>
              </w:rPr>
              <w:t>MA</w:t>
            </w:r>
            <w:r>
              <w:rPr>
                <w:rFonts w:hint="eastAsia" w:ascii="宋体" w:hAnsi="宋体" w:eastAsia="宋体" w:cs="宋体"/>
                <w:kern w:val="0"/>
                <w:szCs w:val="21"/>
              </w:rPr>
              <w:t>资质认定）或国家检测和校准实验室认可</w:t>
            </w:r>
            <w:r>
              <w:rPr>
                <w:rFonts w:hint="eastAsia" w:ascii="宋体" w:hAnsi="宋体" w:cs="宋体"/>
                <w:kern w:val="0"/>
                <w:szCs w:val="21"/>
                <w:lang w:val="en-US" w:eastAsia="zh-CN"/>
              </w:rPr>
              <w:t>的</w:t>
            </w:r>
            <w:r>
              <w:rPr>
                <w:rFonts w:hint="eastAsia" w:ascii="宋体" w:hAnsi="宋体" w:eastAsia="宋体" w:cs="宋体"/>
                <w:kern w:val="0"/>
                <w:szCs w:val="21"/>
                <w:lang w:eastAsia="zh-CN"/>
              </w:rPr>
              <w:t>，</w:t>
            </w:r>
            <w:r>
              <w:rPr>
                <w:rFonts w:hint="eastAsia" w:ascii="宋体" w:hAnsi="宋体" w:eastAsia="宋体" w:cs="宋体"/>
                <w:kern w:val="0"/>
                <w:szCs w:val="21"/>
              </w:rPr>
              <w:t>得</w:t>
            </w:r>
            <w:r>
              <w:rPr>
                <w:rFonts w:hint="eastAsia" w:ascii="宋体" w:hAnsi="宋体" w:cs="宋体"/>
                <w:kern w:val="0"/>
                <w:szCs w:val="21"/>
                <w:lang w:val="en-US" w:eastAsia="zh-CN"/>
              </w:rPr>
              <w:t>100</w:t>
            </w:r>
            <w:r>
              <w:rPr>
                <w:rFonts w:hint="eastAsia" w:ascii="宋体" w:hAnsi="宋体" w:eastAsia="宋体" w:cs="宋体"/>
                <w:kern w:val="0"/>
                <w:szCs w:val="21"/>
              </w:rPr>
              <w:t>分</w:t>
            </w:r>
            <w:r>
              <w:rPr>
                <w:rFonts w:hint="eastAsia" w:ascii="宋体" w:hAnsi="宋体" w:eastAsia="宋体" w:cs="宋体"/>
                <w:lang w:eastAsia="zh-CN"/>
              </w:rPr>
              <w:t>。</w:t>
            </w:r>
          </w:p>
          <w:p>
            <w:pPr>
              <w:widowControl/>
              <w:snapToGrid w:val="0"/>
              <w:spacing w:line="360" w:lineRule="exact"/>
              <w:jc w:val="left"/>
              <w:rPr>
                <w:rFonts w:hint="eastAsia" w:ascii="宋体" w:hAnsi="宋体" w:eastAsia="宋体" w:cs="宋体"/>
                <w:kern w:val="0"/>
                <w:szCs w:val="21"/>
              </w:rPr>
            </w:pPr>
          </w:p>
          <w:p>
            <w:pPr>
              <w:widowControl/>
              <w:snapToGri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（二）评分依据：</w:t>
            </w:r>
          </w:p>
          <w:p>
            <w:pPr>
              <w:spacing w:line="360" w:lineRule="exact"/>
              <w:rPr>
                <w:rFonts w:hint="eastAsia" w:ascii="宋体" w:hAnsi="宋体" w:eastAsia="宋体" w:cs="宋体"/>
                <w:szCs w:val="21"/>
              </w:rPr>
            </w:pPr>
            <w:r>
              <w:rPr>
                <w:rFonts w:hint="eastAsia" w:ascii="宋体" w:hAnsi="宋体" w:eastAsia="宋体" w:cs="宋体"/>
                <w:szCs w:val="21"/>
              </w:rPr>
              <w:t>1.提供上述</w:t>
            </w:r>
            <w:r>
              <w:rPr>
                <w:rFonts w:hint="eastAsia" w:ascii="宋体" w:hAnsi="宋体" w:eastAsia="宋体" w:cs="宋体"/>
                <w:szCs w:val="21"/>
                <w:lang w:val="en-US" w:eastAsia="zh-CN"/>
              </w:rPr>
              <w:t>相对应的</w:t>
            </w:r>
            <w:r>
              <w:rPr>
                <w:rFonts w:hint="eastAsia" w:ascii="宋体" w:hAnsi="宋体" w:eastAsia="宋体" w:cs="宋体"/>
                <w:szCs w:val="21"/>
              </w:rPr>
              <w:t xml:space="preserve">资质证书作为得分依据； </w:t>
            </w:r>
          </w:p>
          <w:p>
            <w:pPr>
              <w:spacing w:line="360" w:lineRule="exact"/>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kern w:val="0"/>
                <w:szCs w:val="21"/>
              </w:rPr>
              <w:t>提供</w:t>
            </w:r>
            <w:r>
              <w:rPr>
                <w:rFonts w:hint="eastAsia" w:ascii="宋体" w:hAnsi="宋体" w:eastAsia="宋体" w:cs="宋体"/>
                <w:szCs w:val="21"/>
              </w:rPr>
              <w:t>以上证明文件</w:t>
            </w:r>
            <w:r>
              <w:rPr>
                <w:rFonts w:hint="eastAsia" w:ascii="宋体" w:hAnsi="宋体" w:eastAsia="宋体" w:cs="宋体"/>
                <w:kern w:val="0"/>
                <w:szCs w:val="21"/>
              </w:rPr>
              <w:t>扫描件，</w:t>
            </w:r>
            <w:r>
              <w:rPr>
                <w:rFonts w:hint="eastAsia" w:ascii="宋体" w:hAnsi="宋体" w:eastAsia="宋体" w:cs="宋体"/>
                <w:szCs w:val="21"/>
              </w:rPr>
              <w:t>如涉及网站截图或照片等证明材料,需提供清晰图片,</w:t>
            </w:r>
            <w:r>
              <w:rPr>
                <w:rFonts w:hint="eastAsia" w:ascii="宋体" w:hAnsi="宋体" w:eastAsia="宋体" w:cs="宋体"/>
                <w:kern w:val="0"/>
                <w:szCs w:val="21"/>
              </w:rPr>
              <w:t>原件备查</w:t>
            </w:r>
            <w:r>
              <w:rPr>
                <w:rFonts w:hint="eastAsia" w:ascii="宋体" w:hAnsi="宋体" w:eastAsia="宋体" w:cs="宋体"/>
                <w:szCs w:val="21"/>
              </w:rPr>
              <w:t>。未按要求提供有效证明材料或提供不清晰导致评委无法识别的不计得分。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94" w:hRule="atLeast"/>
          <w:jc w:val="center"/>
        </w:trPr>
        <w:tc>
          <w:tcPr>
            <w:tcW w:w="680" w:type="dxa"/>
            <w:vMerge w:val="continue"/>
            <w:tcBorders>
              <w:left w:val="single" w:color="000000" w:sz="8" w:space="0"/>
              <w:right w:val="single" w:color="000000" w:sz="8" w:space="0"/>
            </w:tcBorders>
            <w:vAlign w:val="center"/>
          </w:tcPr>
          <w:p>
            <w:pPr>
              <w:spacing w:line="360" w:lineRule="exact"/>
              <w:rPr>
                <w:rFonts w:hint="eastAsia"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szCs w:val="21"/>
              </w:rPr>
            </w:pPr>
            <w:r>
              <w:rPr>
                <w:rFonts w:hint="eastAsia" w:ascii="宋体" w:hAnsi="宋体" w:eastAsia="宋体" w:cs="宋体"/>
                <w:szCs w:val="21"/>
              </w:rPr>
              <w:t>2</w:t>
            </w:r>
          </w:p>
        </w:tc>
        <w:tc>
          <w:tcPr>
            <w:tcW w:w="2835"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r>
              <w:rPr>
                <w:rFonts w:hint="eastAsia" w:ascii="宋体" w:hAnsi="宋体" w:eastAsia="宋体" w:cs="宋体"/>
                <w:szCs w:val="21"/>
              </w:rPr>
              <w:t>投标人获奖情况</w:t>
            </w:r>
          </w:p>
        </w:tc>
        <w:tc>
          <w:tcPr>
            <w:tcW w:w="681"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szCs w:val="21"/>
              </w:rPr>
            </w:pPr>
            <w:r>
              <w:rPr>
                <w:rFonts w:hint="eastAsia" w:ascii="宋体" w:hAnsi="宋体" w:eastAsia="宋体" w:cs="宋体"/>
                <w:szCs w:val="21"/>
              </w:rPr>
              <w:t>10</w:t>
            </w:r>
          </w:p>
        </w:tc>
        <w:tc>
          <w:tcPr>
            <w:tcW w:w="4763"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r>
              <w:rPr>
                <w:rFonts w:hint="eastAsia" w:ascii="宋体" w:hAnsi="宋体" w:eastAsia="宋体" w:cs="宋体"/>
                <w:szCs w:val="21"/>
              </w:rPr>
              <w:t>（一）评分内容：</w:t>
            </w:r>
          </w:p>
          <w:p>
            <w:pPr>
              <w:spacing w:line="360" w:lineRule="exact"/>
              <w:rPr>
                <w:rFonts w:hint="eastAsia" w:ascii="宋体" w:hAnsi="宋体" w:eastAsia="宋体" w:cs="宋体"/>
                <w:szCs w:val="21"/>
              </w:rPr>
            </w:pPr>
            <w:r>
              <w:rPr>
                <w:rFonts w:hint="eastAsia" w:ascii="宋体" w:hAnsi="宋体" w:eastAsia="宋体" w:cs="宋体"/>
                <w:szCs w:val="21"/>
              </w:rPr>
              <w:t>考察投标人（2020年1月1日至本项目投标截止日，以获奖证书时间为准）研究的智能网联汽车相关的获奖情况，获得省级</w:t>
            </w:r>
            <w:r>
              <w:rPr>
                <w:rFonts w:hint="eastAsia" w:ascii="宋体" w:hAnsi="宋体" w:eastAsia="宋体" w:cs="宋体"/>
                <w:szCs w:val="21"/>
                <w:lang w:eastAsia="zh-CN"/>
              </w:rPr>
              <w:t>（</w:t>
            </w:r>
            <w:r>
              <w:rPr>
                <w:rFonts w:hint="eastAsia" w:ascii="宋体" w:hAnsi="宋体" w:eastAsia="宋体" w:cs="宋体"/>
                <w:szCs w:val="21"/>
                <w:lang w:val="en-US" w:eastAsia="zh-CN"/>
              </w:rPr>
              <w:t>不含副省级</w:t>
            </w:r>
            <w:r>
              <w:rPr>
                <w:rFonts w:hint="eastAsia" w:ascii="宋体" w:hAnsi="宋体" w:eastAsia="宋体" w:cs="宋体"/>
                <w:szCs w:val="21"/>
                <w:lang w:eastAsia="zh-CN"/>
              </w:rPr>
              <w:t>）</w:t>
            </w:r>
            <w:r>
              <w:rPr>
                <w:rFonts w:hint="eastAsia" w:ascii="宋体" w:hAnsi="宋体" w:eastAsia="宋体" w:cs="宋体"/>
                <w:szCs w:val="21"/>
              </w:rPr>
              <w:t>或以上奖项的，每</w:t>
            </w:r>
            <w:r>
              <w:rPr>
                <w:rFonts w:hint="eastAsia" w:ascii="宋体" w:hAnsi="宋体" w:cs="宋体"/>
                <w:szCs w:val="21"/>
                <w:lang w:val="en-US" w:eastAsia="zh-CN"/>
              </w:rPr>
              <w:t>提供</w:t>
            </w:r>
            <w:r>
              <w:rPr>
                <w:rFonts w:hint="eastAsia" w:ascii="宋体" w:hAnsi="宋体" w:eastAsia="宋体" w:cs="宋体"/>
                <w:szCs w:val="21"/>
              </w:rPr>
              <w:t>1个得50分，此项最高得100分。</w:t>
            </w:r>
          </w:p>
          <w:p>
            <w:pPr>
              <w:spacing w:line="360" w:lineRule="exact"/>
              <w:rPr>
                <w:rFonts w:hint="eastAsia" w:ascii="宋体" w:hAnsi="宋体" w:eastAsia="宋体" w:cs="宋体"/>
                <w:szCs w:val="21"/>
              </w:rPr>
            </w:pPr>
          </w:p>
          <w:p>
            <w:pPr>
              <w:widowControl/>
              <w:snapToGri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（二）评分依据：</w:t>
            </w:r>
          </w:p>
          <w:p>
            <w:pPr>
              <w:spacing w:line="360" w:lineRule="exact"/>
              <w:rPr>
                <w:rFonts w:hint="eastAsia" w:ascii="宋体" w:hAnsi="宋体" w:eastAsia="宋体" w:cs="宋体"/>
                <w:szCs w:val="21"/>
              </w:rPr>
            </w:pPr>
            <w:r>
              <w:rPr>
                <w:rFonts w:hint="eastAsia" w:ascii="宋体" w:hAnsi="宋体" w:eastAsia="宋体" w:cs="宋体"/>
                <w:szCs w:val="21"/>
              </w:rPr>
              <w:t>1.要求提供上述相关获奖证书作为得分依据；</w:t>
            </w:r>
          </w:p>
          <w:p>
            <w:pPr>
              <w:spacing w:line="360" w:lineRule="exact"/>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kern w:val="0"/>
                <w:szCs w:val="21"/>
              </w:rPr>
              <w:t>提供</w:t>
            </w:r>
            <w:r>
              <w:rPr>
                <w:rFonts w:hint="eastAsia" w:ascii="宋体" w:hAnsi="宋体" w:eastAsia="宋体" w:cs="宋体"/>
                <w:szCs w:val="21"/>
              </w:rPr>
              <w:t>以上证明文件</w:t>
            </w:r>
            <w:r>
              <w:rPr>
                <w:rFonts w:hint="eastAsia" w:ascii="宋体" w:hAnsi="宋体" w:eastAsia="宋体" w:cs="宋体"/>
                <w:kern w:val="0"/>
                <w:szCs w:val="21"/>
              </w:rPr>
              <w:t>扫描件，</w:t>
            </w:r>
            <w:r>
              <w:rPr>
                <w:rFonts w:hint="eastAsia" w:ascii="宋体" w:hAnsi="宋体" w:eastAsia="宋体" w:cs="宋体"/>
                <w:szCs w:val="21"/>
              </w:rPr>
              <w:t>如涉及网站截图或照片等证明材料,需提供清晰图片,</w:t>
            </w:r>
            <w:r>
              <w:rPr>
                <w:rFonts w:hint="eastAsia" w:ascii="宋体" w:hAnsi="宋体" w:eastAsia="宋体" w:cs="宋体"/>
                <w:kern w:val="0"/>
                <w:szCs w:val="21"/>
              </w:rPr>
              <w:t>原件备查</w:t>
            </w:r>
            <w:r>
              <w:rPr>
                <w:rFonts w:hint="eastAsia" w:ascii="宋体" w:hAnsi="宋体" w:eastAsia="宋体" w:cs="宋体"/>
                <w:szCs w:val="21"/>
              </w:rPr>
              <w:t>。未按要求提供有效证明材料或提供不清晰导致评委无法识别的不计得分。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spacing w:line="360" w:lineRule="exact"/>
              <w:rPr>
                <w:rFonts w:hint="eastAsia"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szCs w:val="21"/>
              </w:rPr>
            </w:pPr>
            <w:r>
              <w:rPr>
                <w:rFonts w:hint="eastAsia" w:ascii="宋体" w:hAnsi="宋体" w:eastAsia="宋体" w:cs="宋体"/>
                <w:szCs w:val="21"/>
              </w:rPr>
              <w:t>3</w:t>
            </w:r>
          </w:p>
        </w:tc>
        <w:tc>
          <w:tcPr>
            <w:tcW w:w="2835"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r>
              <w:rPr>
                <w:rFonts w:hint="eastAsia" w:ascii="宋体" w:hAnsi="宋体" w:eastAsia="宋体" w:cs="宋体"/>
                <w:szCs w:val="21"/>
              </w:rPr>
              <w:t>投标人自主知识产权产品（创新、设计）情况</w:t>
            </w:r>
          </w:p>
        </w:tc>
        <w:tc>
          <w:tcPr>
            <w:tcW w:w="681"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szCs w:val="21"/>
              </w:rPr>
            </w:pPr>
            <w:r>
              <w:rPr>
                <w:rFonts w:hint="eastAsia" w:ascii="宋体" w:hAnsi="宋体" w:eastAsia="宋体" w:cs="宋体"/>
                <w:szCs w:val="21"/>
              </w:rPr>
              <w:t>5</w:t>
            </w:r>
          </w:p>
        </w:tc>
        <w:tc>
          <w:tcPr>
            <w:tcW w:w="4763"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r>
              <w:rPr>
                <w:rFonts w:hint="eastAsia" w:ascii="宋体" w:hAnsi="宋体" w:eastAsia="宋体" w:cs="宋体"/>
                <w:szCs w:val="21"/>
              </w:rPr>
              <w:t>（一）评分内容：</w:t>
            </w:r>
          </w:p>
          <w:p>
            <w:pPr>
              <w:tabs>
                <w:tab w:val="left" w:pos="175"/>
              </w:tabs>
              <w:spacing w:line="360" w:lineRule="exact"/>
              <w:ind w:left="33"/>
              <w:jc w:val="left"/>
              <w:rPr>
                <w:rFonts w:hint="eastAsia" w:ascii="宋体" w:hAnsi="宋体" w:eastAsia="宋体" w:cs="宋体"/>
                <w:bCs/>
                <w:kern w:val="0"/>
                <w:szCs w:val="21"/>
              </w:rPr>
            </w:pPr>
            <w:r>
              <w:rPr>
                <w:rFonts w:hint="eastAsia" w:ascii="宋体" w:hAnsi="宋体" w:eastAsia="宋体" w:cs="宋体"/>
                <w:bCs/>
                <w:kern w:val="0"/>
                <w:szCs w:val="21"/>
              </w:rPr>
              <w:t>投标人具有智能网联技术与项目相关专利的，每提供一个专利证书得25分，此项最高得100分。</w:t>
            </w:r>
          </w:p>
          <w:p>
            <w:pPr>
              <w:autoSpaceDE w:val="0"/>
              <w:autoSpaceDN w:val="0"/>
              <w:adjustRightInd w:val="0"/>
              <w:spacing w:line="360" w:lineRule="exact"/>
              <w:jc w:val="left"/>
              <w:rPr>
                <w:rFonts w:hint="eastAsia" w:ascii="宋体" w:hAnsi="宋体" w:eastAsia="宋体" w:cs="宋体"/>
                <w:kern w:val="0"/>
                <w:szCs w:val="21"/>
              </w:rPr>
            </w:pPr>
          </w:p>
          <w:p>
            <w:pPr>
              <w:widowControl/>
              <w:snapToGri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（二）评分依据：</w:t>
            </w:r>
          </w:p>
          <w:p>
            <w:pPr>
              <w:tabs>
                <w:tab w:val="left" w:pos="175"/>
              </w:tabs>
              <w:spacing w:line="360" w:lineRule="exact"/>
              <w:ind w:left="33"/>
              <w:jc w:val="left"/>
              <w:rPr>
                <w:rFonts w:hint="eastAsia" w:ascii="宋体" w:hAnsi="宋体" w:eastAsia="宋体" w:cs="宋体"/>
                <w:szCs w:val="21"/>
              </w:rPr>
            </w:pPr>
            <w:r>
              <w:rPr>
                <w:rFonts w:hint="eastAsia" w:ascii="宋体" w:hAnsi="宋体" w:eastAsia="宋体" w:cs="宋体"/>
                <w:szCs w:val="21"/>
              </w:rPr>
              <w:t>1.要求提供上述有效的产权（专利）证书作为得分依据；</w:t>
            </w:r>
          </w:p>
          <w:p>
            <w:pPr>
              <w:spacing w:line="360" w:lineRule="exact"/>
              <w:jc w:val="left"/>
              <w:rPr>
                <w:rFonts w:hint="eastAsia" w:ascii="宋体" w:hAnsi="宋体" w:eastAsia="宋体" w:cs="宋体"/>
                <w:szCs w:val="21"/>
              </w:rPr>
            </w:pPr>
            <w:r>
              <w:rPr>
                <w:rFonts w:hint="eastAsia" w:ascii="宋体" w:hAnsi="宋体" w:eastAsia="宋体" w:cs="宋体"/>
                <w:szCs w:val="21"/>
              </w:rPr>
              <w:t>2.以上证明文件均提供扫描件，原件备查。未按要求提供有效证明材料或提供不清晰导致评委无法识别的不计得分。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pPr>
              <w:spacing w:line="360" w:lineRule="exact"/>
              <w:jc w:val="center"/>
              <w:rPr>
                <w:rFonts w:hint="eastAsia" w:ascii="宋体" w:hAnsi="宋体" w:eastAsia="宋体" w:cs="宋体"/>
                <w:b/>
                <w:bCs/>
                <w:color w:val="0000FF"/>
                <w:sz w:val="24"/>
                <w:szCs w:val="24"/>
              </w:rPr>
            </w:pPr>
            <w:r>
              <w:rPr>
                <w:rFonts w:hint="eastAsia" w:ascii="宋体" w:hAnsi="宋体" w:eastAsia="宋体" w:cs="宋体"/>
                <w:b/>
                <w:bCs/>
                <w:color w:val="0000FF"/>
              </w:rPr>
              <w:t>4</w:t>
            </w:r>
          </w:p>
        </w:tc>
        <w:tc>
          <w:tcPr>
            <w:tcW w:w="4196" w:type="dxa"/>
            <w:gridSpan w:val="3"/>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b/>
                <w:bCs/>
                <w:color w:val="0000FF"/>
                <w:sz w:val="24"/>
                <w:szCs w:val="24"/>
              </w:rPr>
            </w:pPr>
            <w:r>
              <w:rPr>
                <w:rFonts w:hint="eastAsia" w:ascii="宋体" w:hAnsi="宋体" w:eastAsia="宋体" w:cs="宋体"/>
                <w:b/>
                <w:bCs/>
                <w:color w:val="0000FF"/>
              </w:rPr>
              <w:t>其他</w:t>
            </w:r>
          </w:p>
        </w:tc>
        <w:tc>
          <w:tcPr>
            <w:tcW w:w="4763"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b/>
                <w:bCs/>
                <w:color w:val="0000FF"/>
                <w:sz w:val="24"/>
                <w:szCs w:val="24"/>
              </w:rPr>
            </w:pPr>
            <w:r>
              <w:rPr>
                <w:rFonts w:hint="eastAsia" w:ascii="宋体" w:hAnsi="宋体" w:eastAsia="宋体" w:cs="宋体"/>
                <w:b/>
                <w:bCs/>
                <w:color w:val="0000FF"/>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spacing w:line="360" w:lineRule="exact"/>
              <w:rPr>
                <w:rFonts w:hint="eastAsia" w:ascii="宋体" w:hAnsi="宋体" w:eastAsia="宋体" w:cs="宋体"/>
                <w:b/>
                <w:bCs/>
                <w:color w:val="0000FF"/>
                <w:sz w:val="24"/>
                <w:szCs w:val="24"/>
              </w:rPr>
            </w:pPr>
          </w:p>
        </w:tc>
        <w:tc>
          <w:tcPr>
            <w:tcW w:w="8959" w:type="dxa"/>
            <w:gridSpan w:val="4"/>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spacing w:line="360" w:lineRule="exact"/>
              <w:rPr>
                <w:rFonts w:hint="eastAsia" w:ascii="宋体" w:hAnsi="宋体" w:eastAsia="宋体" w:cs="宋体"/>
                <w:b/>
                <w:bCs/>
                <w:color w:val="0000FF"/>
                <w:sz w:val="24"/>
                <w:szCs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权重(%)</w:t>
            </w:r>
          </w:p>
        </w:tc>
        <w:tc>
          <w:tcPr>
            <w:tcW w:w="4763"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spacing w:line="360" w:lineRule="exact"/>
              <w:rPr>
                <w:rFonts w:hint="eastAsia"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szCs w:val="21"/>
              </w:rPr>
            </w:pPr>
            <w:r>
              <w:rPr>
                <w:rFonts w:hint="eastAsia" w:ascii="宋体" w:hAnsi="宋体" w:eastAsia="宋体" w:cs="宋体"/>
                <w:szCs w:val="21"/>
              </w:rPr>
              <w:t>1</w:t>
            </w:r>
          </w:p>
        </w:tc>
        <w:tc>
          <w:tcPr>
            <w:tcW w:w="2835"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r>
              <w:rPr>
                <w:rFonts w:hint="eastAsia" w:ascii="宋体" w:hAnsi="宋体" w:eastAsia="宋体" w:cs="宋体"/>
                <w:szCs w:val="21"/>
              </w:rPr>
              <w:t>诚信评审</w:t>
            </w:r>
          </w:p>
        </w:tc>
        <w:tc>
          <w:tcPr>
            <w:tcW w:w="681"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hint="eastAsia" w:ascii="宋体" w:hAnsi="宋体" w:eastAsia="宋体" w:cs="宋体"/>
                <w:szCs w:val="21"/>
              </w:rPr>
            </w:pPr>
            <w:r>
              <w:rPr>
                <w:rFonts w:hint="eastAsia" w:ascii="宋体" w:hAnsi="宋体" w:eastAsia="宋体" w:cs="宋体"/>
                <w:szCs w:val="21"/>
              </w:rPr>
              <w:t>5</w:t>
            </w:r>
          </w:p>
        </w:tc>
        <w:tc>
          <w:tcPr>
            <w:tcW w:w="4763" w:type="dxa"/>
            <w:tcBorders>
              <w:top w:val="single" w:color="000000" w:sz="8" w:space="0"/>
              <w:left w:val="single" w:color="000000" w:sz="8" w:space="0"/>
              <w:bottom w:val="single" w:color="000000" w:sz="8" w:space="0"/>
              <w:right w:val="single" w:color="000000" w:sz="8" w:space="0"/>
            </w:tcBorders>
          </w:tcPr>
          <w:p>
            <w:pPr>
              <w:spacing w:line="360" w:lineRule="exact"/>
              <w:rPr>
                <w:rFonts w:hint="eastAsia" w:ascii="宋体" w:hAnsi="宋体" w:eastAsia="宋体" w:cs="宋体"/>
                <w:szCs w:val="21"/>
              </w:rPr>
            </w:pPr>
            <w:r>
              <w:rPr>
                <w:rFonts w:hint="eastAsia" w:ascii="宋体" w:hAnsi="宋体" w:eastAsia="宋体" w:cs="宋体"/>
                <w:szCs w:val="21"/>
              </w:rPr>
              <w:t>投标人参与政府采购活动在诚信管理中受过主管部门通报处理且仍在实施期限内的本项不得分，</w:t>
            </w:r>
            <w:r>
              <w:rPr>
                <w:rFonts w:hint="eastAsia" w:ascii="宋体" w:hAnsi="宋体" w:eastAsia="宋体" w:cs="宋体"/>
                <w:kern w:val="0"/>
                <w:szCs w:val="21"/>
              </w:rPr>
              <w:t>否则得100分</w:t>
            </w:r>
            <w:r>
              <w:rPr>
                <w:rFonts w:hint="eastAsia" w:ascii="宋体" w:hAnsi="宋体" w:eastAsia="宋体" w:cs="宋体"/>
                <w:szCs w:val="21"/>
              </w:rPr>
              <w:t xml:space="preserve">。 </w:t>
            </w:r>
          </w:p>
          <w:p>
            <w:pPr>
              <w:spacing w:line="360" w:lineRule="exact"/>
              <w:rPr>
                <w:rFonts w:hint="eastAsia" w:ascii="宋体" w:hAnsi="宋体" w:eastAsia="宋体" w:cs="宋体"/>
                <w:szCs w:val="21"/>
              </w:rPr>
            </w:pPr>
          </w:p>
          <w:p>
            <w:pPr>
              <w:spacing w:line="360" w:lineRule="exact"/>
              <w:rPr>
                <w:rFonts w:hint="eastAsia" w:ascii="宋体" w:hAnsi="宋体" w:eastAsia="宋体" w:cs="宋体"/>
                <w:szCs w:val="21"/>
              </w:rPr>
            </w:pPr>
            <w:r>
              <w:rPr>
                <w:rFonts w:hint="eastAsia" w:ascii="宋体" w:hAnsi="宋体" w:eastAsia="宋体" w:cs="宋体"/>
                <w:szCs w:val="21"/>
              </w:rPr>
              <w:t>证明文件：</w:t>
            </w:r>
          </w:p>
          <w:p>
            <w:pPr>
              <w:spacing w:line="360" w:lineRule="exact"/>
              <w:rPr>
                <w:rFonts w:hint="eastAsia" w:ascii="宋体" w:hAnsi="宋体" w:eastAsia="宋体" w:cs="宋体"/>
                <w:szCs w:val="21"/>
              </w:rPr>
            </w:pPr>
            <w:r>
              <w:rPr>
                <w:rFonts w:hint="eastAsia" w:ascii="宋体" w:hAnsi="宋体" w:eastAsia="宋体" w:cs="宋体"/>
                <w:szCs w:val="21"/>
              </w:rPr>
              <w:t>投标人按招标文件格式如实提供《诚信承诺函》，承诺函格式及内容不得修改，否则不得分。如若投标人承诺与实际情况不相符，将按虚假应标报相关主管部门处理。</w:t>
            </w:r>
          </w:p>
        </w:tc>
      </w:tr>
    </w:tbl>
    <w:p/>
    <w:p/>
    <w:p>
      <w:pPr>
        <w:widowControl/>
        <w:jc w:val="left"/>
        <w:rPr>
          <w:rFonts w:asciiTheme="minorEastAsia" w:hAnsiTheme="minorEastAsia" w:eastAsiaTheme="minorEastAsia"/>
          <w:b/>
          <w:bCs/>
          <w:kern w:val="44"/>
          <w:sz w:val="28"/>
          <w:szCs w:val="44"/>
        </w:rPr>
      </w:pPr>
      <w:r>
        <w:rPr>
          <w:rFonts w:asciiTheme="minorEastAsia" w:hAnsiTheme="minorEastAsia" w:eastAsiaTheme="minorEastAsia"/>
        </w:rPr>
        <w:br w:type="page"/>
      </w:r>
    </w:p>
    <w:p>
      <w:pPr>
        <w:pStyle w:val="4"/>
        <w:spacing w:before="0" w:after="0"/>
        <w:rPr>
          <w:rFonts w:asciiTheme="minorEastAsia" w:hAnsiTheme="minorEastAsia" w:eastAsiaTheme="minorEastAsia"/>
        </w:rPr>
      </w:pPr>
      <w:r>
        <w:rPr>
          <w:rFonts w:hint="eastAsia" w:asciiTheme="minorEastAsia" w:hAnsiTheme="minorEastAsia" w:eastAsiaTheme="minorEastAsia"/>
        </w:rPr>
        <w:t>其它关键信息</w:t>
      </w:r>
    </w:p>
    <w:p>
      <w:pPr>
        <w:spacing w:line="360" w:lineRule="auto"/>
        <w:ind w:firstLine="413" w:firstLineChars="196"/>
        <w:rPr>
          <w:rFonts w:ascii="宋体" w:hAnsi="宋体"/>
          <w:szCs w:val="21"/>
        </w:rPr>
      </w:pPr>
      <w:r>
        <w:rPr>
          <w:rFonts w:hint="eastAsia" w:ascii="宋体" w:hAnsi="宋体"/>
          <w:b/>
          <w:szCs w:val="21"/>
        </w:rPr>
        <w:t>一</w:t>
      </w:r>
      <w:r>
        <w:rPr>
          <w:rFonts w:hint="eastAsia" w:asciiTheme="minorEastAsia" w:hAnsiTheme="minorEastAsia" w:eastAsiaTheme="minorEastAsia"/>
          <w:b/>
          <w:szCs w:val="21"/>
        </w:rPr>
        <w:t>、</w:t>
      </w:r>
      <w:r>
        <w:rPr>
          <w:rFonts w:hint="eastAsia"/>
          <w:b/>
          <w:szCs w:val="21"/>
        </w:rPr>
        <w:t>评标定标信息</w:t>
      </w:r>
    </w:p>
    <w:tbl>
      <w:tblPr>
        <w:tblStyle w:val="43"/>
        <w:tblW w:w="85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4"/>
        <w:gridCol w:w="4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是否评标定标分离</w:t>
            </w:r>
          </w:p>
        </w:tc>
        <w:tc>
          <w:tcPr>
            <w:tcW w:w="4265" w:type="dxa"/>
          </w:tcPr>
          <w:p>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非评定分离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定标方法</w:t>
            </w:r>
          </w:p>
        </w:tc>
        <w:tc>
          <w:tcPr>
            <w:tcW w:w="4265" w:type="dxa"/>
          </w:tcPr>
          <w:p>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评标方法</w:t>
            </w:r>
          </w:p>
        </w:tc>
        <w:tc>
          <w:tcPr>
            <w:tcW w:w="4265" w:type="dxa"/>
          </w:tcPr>
          <w:p>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中标供应商家数</w:t>
            </w:r>
          </w:p>
        </w:tc>
        <w:tc>
          <w:tcPr>
            <w:tcW w:w="4265" w:type="dxa"/>
          </w:tcPr>
          <w:p>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候选中标供应商家数</w:t>
            </w:r>
          </w:p>
        </w:tc>
        <w:tc>
          <w:tcPr>
            <w:tcW w:w="4265" w:type="dxa"/>
          </w:tcPr>
          <w:p>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1</w:t>
            </w:r>
          </w:p>
        </w:tc>
      </w:tr>
    </w:tbl>
    <w:p>
      <w:pPr>
        <w:spacing w:line="360" w:lineRule="auto"/>
        <w:ind w:firstLine="411" w:firstLineChars="196"/>
        <w:rPr>
          <w:rFonts w:ascii="宋体" w:hAnsi="宋体"/>
        </w:rPr>
      </w:pPr>
    </w:p>
    <w:p>
      <w:pPr>
        <w:spacing w:line="360" w:lineRule="auto"/>
        <w:ind w:firstLine="413" w:firstLineChars="196"/>
        <w:rPr>
          <w:rFonts w:ascii="宋体" w:hAnsi="宋体"/>
          <w:b/>
          <w:szCs w:val="21"/>
        </w:rPr>
      </w:pPr>
      <w:r>
        <w:rPr>
          <w:rFonts w:hint="eastAsia" w:ascii="宋体" w:hAnsi="宋体"/>
          <w:b/>
          <w:szCs w:val="21"/>
        </w:rPr>
        <w:t>二</w:t>
      </w:r>
      <w:r>
        <w:rPr>
          <w:rFonts w:hint="eastAsia" w:asciiTheme="minorEastAsia" w:hAnsiTheme="minorEastAsia" w:eastAsiaTheme="minorEastAsia"/>
          <w:b/>
          <w:szCs w:val="21"/>
        </w:rPr>
        <w:t>、</w:t>
      </w:r>
      <w:r>
        <w:rPr>
          <w:rFonts w:hint="eastAsia" w:ascii="宋体" w:hAnsi="宋体"/>
          <w:b/>
          <w:szCs w:val="21"/>
        </w:rPr>
        <w:t>报价明显偏低的合理性说明</w:t>
      </w:r>
    </w:p>
    <w:p>
      <w:pPr>
        <w:spacing w:line="360" w:lineRule="auto"/>
        <w:ind w:firstLine="420" w:firstLineChars="200"/>
        <w:rPr>
          <w:rFonts w:ascii="宋体" w:hAnsi="宋体"/>
          <w:szCs w:val="21"/>
        </w:rPr>
      </w:pP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hAns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0" w:firstLineChars="200"/>
        <w:rPr>
          <w:rFonts w:ascii="宋体" w:hAnsi="宋体"/>
          <w:szCs w:val="21"/>
        </w:rPr>
      </w:pPr>
    </w:p>
    <w:p>
      <w:pPr>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szCs w:val="21"/>
        </w:rPr>
        <w:t>三、</w:t>
      </w:r>
      <w:r>
        <w:rPr>
          <w:rFonts w:hint="eastAsia" w:asciiTheme="minorEastAsia" w:hAnsiTheme="minorEastAsia" w:eastAsiaTheme="minorEastAsia"/>
          <w:b/>
          <w:bCs/>
        </w:rPr>
        <w:t>关于享受政府采购扶持政策的主体及价格扣除比例</w:t>
      </w:r>
    </w:p>
    <w:p>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pPr>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bCs/>
        </w:rPr>
        <w:t>（二）价格评审优惠</w:t>
      </w:r>
    </w:p>
    <w:p>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hAnsi="宋体"/>
          <w:szCs w:val="21"/>
        </w:rPr>
        <w:t>专门面向中小企业采购项目</w:t>
      </w:r>
      <w:r>
        <w:rPr>
          <w:rFonts w:hint="eastAsia" w:cs="仿宋" w:asciiTheme="minorEastAsia" w:hAnsiTheme="minorEastAsia" w:eastAsiaTheme="minorEastAsia"/>
          <w:szCs w:val="21"/>
        </w:rPr>
        <w:t>：不执行价格评审优惠的扶持政策。</w:t>
      </w:r>
    </w:p>
    <w:p>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cs="MS Mincho" w:asciiTheme="minorEastAsia" w:hAnsiTheme="minorEastAsia" w:eastAsiaTheme="minorEastAsia"/>
          <w:kern w:val="0"/>
          <w:szCs w:val="21"/>
        </w:rPr>
        <w:t xml:space="preserve"> </w:t>
      </w:r>
      <w:r>
        <w:rPr>
          <w:rFonts w:hint="eastAsia" w:asciiTheme="minorEastAsia" w:hAnsiTheme="minorEastAsia" w:eastAsiaTheme="minorEastAsia"/>
          <w:szCs w:val="21"/>
        </w:rPr>
        <w:t>非专门面向中小企业采购项目：</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（1）本项目服务</w:t>
      </w:r>
      <w:r>
        <w:rPr>
          <w:rFonts w:hint="eastAsia" w:hAnsi="宋体"/>
        </w:rPr>
        <w:t>全部由小型、微型企业承接的，可</w:t>
      </w:r>
      <w:r>
        <w:rPr>
          <w:rFonts w:hint="eastAsia" w:asciiTheme="minorEastAsia" w:hAnsiTheme="minorEastAsia" w:eastAsiaTheme="minorEastAsia"/>
        </w:rPr>
        <w:t>给予投标人</w:t>
      </w:r>
      <w:r>
        <w:rPr>
          <w:rFonts w:hint="eastAsia" w:asciiTheme="minorEastAsia" w:hAnsiTheme="minorEastAsia" w:eastAsiaTheme="minorEastAsia"/>
          <w:b/>
          <w:u w:val="single"/>
        </w:rPr>
        <w:t xml:space="preserve">  10  </w:t>
      </w:r>
      <w:r>
        <w:rPr>
          <w:rFonts w:hint="eastAsia" w:asciiTheme="minorEastAsia" w:hAnsiTheme="minorEastAsia" w:eastAsiaTheme="minorEastAsia"/>
          <w:b/>
        </w:rPr>
        <w:t>%（请在10%-20%范围内选择）</w:t>
      </w:r>
      <w:r>
        <w:rPr>
          <w:rFonts w:hint="eastAsia" w:asciiTheme="minorEastAsia" w:hAnsiTheme="minorEastAsia" w:eastAsiaTheme="minorEastAsia"/>
        </w:rPr>
        <w:t>的价格扣除</w:t>
      </w:r>
      <w:r>
        <w:rPr>
          <w:rFonts w:hint="eastAsia" w:ascii="宋体" w:hAnsi="宋体"/>
        </w:rPr>
        <w:t>，</w:t>
      </w:r>
      <w:r>
        <w:rPr>
          <w:rFonts w:hint="eastAsia" w:asciiTheme="minorEastAsia" w:hAnsiTheme="minorEastAsia" w:eastAsiaTheme="minorEastAsia"/>
        </w:rPr>
        <w:t>用扣除后的价格参与评审。对于同时属于小微企业、监狱企业或残疾人福利性单位的，不重复进行投标报价扣除。</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r>
        <w:rPr>
          <w:rFonts w:hint="eastAsia" w:ascii="宋体" w:hAnsi="宋体"/>
        </w:rPr>
        <w:t>，用扣除后的价格参与评审</w:t>
      </w:r>
      <w:r>
        <w:rPr>
          <w:rFonts w:hint="eastAsia" w:asciiTheme="minorEastAsia" w:hAnsiTheme="minorEastAsia" w:eastAsiaTheme="minorEastAsia"/>
        </w:rPr>
        <w:t>。联合体各方均为小型、微型企业、监狱企业或</w:t>
      </w:r>
      <w:r>
        <w:rPr>
          <w:rFonts w:hint="eastAsia" w:ascii="宋体" w:hAnsi="宋体"/>
        </w:rPr>
        <w:t>残疾人福利性单位</w:t>
      </w:r>
      <w:r>
        <w:rPr>
          <w:rFonts w:hint="eastAsia" w:asciiTheme="minorEastAsia" w:hAnsiTheme="minorEastAsia" w:eastAsiaTheme="minorEastAsia"/>
        </w:rPr>
        <w:t>的，联合体视同为小型、微型企业、监狱企业和</w:t>
      </w:r>
      <w:r>
        <w:rPr>
          <w:rFonts w:hint="eastAsia" w:ascii="宋体" w:hAnsi="宋体"/>
        </w:rPr>
        <w:t>残疾人福利性单位</w:t>
      </w:r>
      <w:r>
        <w:rPr>
          <w:rFonts w:hint="eastAsia" w:asciiTheme="minorEastAsia" w:hAnsiTheme="minorEastAsia" w:eastAsiaTheme="minorEastAsia"/>
        </w:rPr>
        <w:t>，均享受</w:t>
      </w:r>
      <w:r>
        <w:rPr>
          <w:rFonts w:hint="eastAsia" w:asciiTheme="minorEastAsia" w:hAnsiTheme="minorEastAsia" w:eastAsiaTheme="minorEastAsia"/>
          <w:b/>
        </w:rPr>
        <w:t>第（1）项</w:t>
      </w:r>
      <w:r>
        <w:rPr>
          <w:rFonts w:hint="eastAsia" w:asciiTheme="minorEastAsia" w:hAnsiTheme="minorEastAsia" w:eastAsiaTheme="minorEastAsia"/>
        </w:rPr>
        <w:t>的评审优惠。</w:t>
      </w:r>
    </w:p>
    <w:p>
      <w:pPr>
        <w:spacing w:after="60" w:line="360" w:lineRule="auto"/>
        <w:ind w:firstLine="424" w:firstLineChars="202"/>
        <w:rPr>
          <w:rFonts w:ascii="宋体" w:hAnsi="宋体"/>
        </w:rPr>
      </w:pPr>
      <w:r>
        <w:rPr>
          <w:rFonts w:hint="eastAsia" w:ascii="宋体" w:hAnsi="宋体"/>
        </w:rPr>
        <w:t>（3）分包意向协议约定，小型、微型企业的协议合同金额占到合同总金额30%以上的，可给予投标人</w:t>
      </w:r>
      <w:r>
        <w:rPr>
          <w:rFonts w:hint="eastAsia" w:ascii="宋体" w:hAnsi="宋体"/>
          <w:b/>
          <w:u w:val="single"/>
        </w:rPr>
        <w:t xml:space="preserve">  </w:t>
      </w:r>
      <w:r>
        <w:rPr>
          <w:rFonts w:hint="eastAsia" w:asciiTheme="minorEastAsia" w:hAnsiTheme="minorEastAsia" w:eastAsiaTheme="minorEastAsia"/>
          <w:b/>
          <w:u w:val="single"/>
        </w:rPr>
        <w:t xml:space="preserve">/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r>
        <w:rPr>
          <w:rFonts w:hint="eastAsia" w:ascii="宋体" w:hAnsi="宋体"/>
        </w:rPr>
        <w:t>，用扣除后的价格参与评审。</w:t>
      </w:r>
    </w:p>
    <w:p>
      <w:pPr>
        <w:spacing w:after="60" w:line="360" w:lineRule="auto"/>
        <w:ind w:firstLine="424" w:firstLineChars="202"/>
        <w:rPr>
          <w:rFonts w:ascii="宋体" w:hAnsi="宋体"/>
        </w:rPr>
      </w:pPr>
      <w:r>
        <w:rPr>
          <w:rFonts w:hint="eastAsia" w:ascii="宋体" w:hAnsi="宋体"/>
        </w:rPr>
        <w:t>（4）优惠主体资格的认定资料为《中小企业声明函》、《残疾人福利性单位声明函》以及《监狱企业声明函》等承诺性质的资料（</w:t>
      </w:r>
      <w:r>
        <w:rPr>
          <w:rFonts w:hint="eastAsia" w:ascii="宋体" w:hAnsi="宋体" w:cs="宋体"/>
          <w:szCs w:val="21"/>
        </w:rPr>
        <w:t>格式详见招标文件第三章</w:t>
      </w:r>
      <w:r>
        <w:rPr>
          <w:rFonts w:hint="eastAsia" w:ascii="宋体" w:hAnsi="宋体"/>
        </w:rPr>
        <w:t>）；监狱企业或者代理提供监狱企业货物的供应商如需享受优惠政策，除上述资料外，还须提供省级以上监狱管理局、戒毒管理局出具的监狱企业证明文件。</w:t>
      </w:r>
    </w:p>
    <w:p>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拟采购的服务如涉及《关于调整优化节能产品环境标志产品政府采购执行机制的通知》（财库〔2019〕9号）、《关于印发环境标志产品政府采购品目清单的通知》（财库〔2019〕18号）和《关于印发节能产品政府采购品目清单的通知》（财库〔2019〕19号）品目清单范围内的产品，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p>
      <w:pPr>
        <w:widowControl/>
        <w:jc w:val="left"/>
        <w:rPr>
          <w:rFonts w:ascii="宋体" w:hAnsi="宋体" w:eastAsia="黑体"/>
          <w:b/>
          <w:bCs/>
          <w:kern w:val="44"/>
          <w:sz w:val="28"/>
          <w:szCs w:val="44"/>
        </w:rPr>
      </w:pPr>
      <w:r>
        <w:br w:type="page"/>
      </w:r>
    </w:p>
    <w:p>
      <w:pPr>
        <w:keepNext/>
        <w:keepLines/>
        <w:spacing w:before="340" w:after="330" w:line="360" w:lineRule="auto"/>
        <w:jc w:val="center"/>
        <w:outlineLvl w:val="0"/>
        <w:rPr>
          <w:rFonts w:ascii="宋体" w:hAnsi="宋体" w:eastAsia="黑体"/>
          <w:b/>
          <w:bCs/>
          <w:kern w:val="44"/>
          <w:sz w:val="28"/>
          <w:szCs w:val="44"/>
        </w:rPr>
      </w:pPr>
      <w:r>
        <w:rPr>
          <w:rFonts w:hint="eastAsia" w:ascii="宋体" w:hAnsi="宋体" w:eastAsia="黑体"/>
          <w:b/>
          <w:bCs/>
          <w:kern w:val="44"/>
          <w:sz w:val="28"/>
          <w:szCs w:val="44"/>
        </w:rPr>
        <w:t>目   录</w:t>
      </w:r>
    </w:p>
    <w:p>
      <w:pPr>
        <w:rPr>
          <w:rFonts w:ascii="Times New Roman" w:hAnsi="Times New Roman"/>
          <w:b/>
          <w:sz w:val="24"/>
          <w:szCs w:val="24"/>
        </w:rPr>
      </w:pPr>
      <w:r>
        <w:rPr>
          <w:rFonts w:hint="eastAsia" w:ascii="Times New Roman" w:hAnsi="Times New Roman"/>
          <w:b/>
          <w:sz w:val="24"/>
          <w:szCs w:val="24"/>
        </w:rPr>
        <w:t>第一册  专用条款</w:t>
      </w:r>
    </w:p>
    <w:p>
      <w:pPr>
        <w:ind w:left="630" w:leftChars="300" w:firstLine="411" w:firstLineChars="196"/>
        <w:rPr>
          <w:rFonts w:ascii="宋体" w:hAnsi="宋体"/>
          <w:szCs w:val="21"/>
        </w:rPr>
      </w:pPr>
      <w:r>
        <w:rPr>
          <w:rFonts w:hint="eastAsia" w:ascii="宋体" w:hAnsi="宋体"/>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招标项目需求</w:t>
      </w:r>
    </w:p>
    <w:p>
      <w:pPr>
        <w:ind w:left="630" w:leftChars="300" w:firstLine="411" w:firstLineChars="196"/>
        <w:rPr>
          <w:rFonts w:ascii="宋体" w:hAnsi="宋体"/>
          <w:szCs w:val="21"/>
        </w:rPr>
      </w:pPr>
      <w:r>
        <w:rPr>
          <w:rFonts w:hint="eastAsia" w:ascii="宋体" w:hAnsi="宋体"/>
          <w:szCs w:val="21"/>
        </w:rPr>
        <w:t>第三章  投标文件格式、附件</w:t>
      </w:r>
    </w:p>
    <w:p>
      <w:pPr>
        <w:ind w:left="630" w:leftChars="300" w:firstLine="411" w:firstLineChars="196"/>
        <w:rPr>
          <w:rFonts w:ascii="宋体" w:hAnsi="宋体"/>
          <w:szCs w:val="21"/>
        </w:rPr>
      </w:pPr>
      <w:r>
        <w:rPr>
          <w:rFonts w:hint="eastAsia" w:ascii="宋体" w:hAnsi="宋体"/>
          <w:szCs w:val="21"/>
        </w:rPr>
        <w:t>第四章  合同及履约情况反馈格式</w:t>
      </w:r>
    </w:p>
    <w:p>
      <w:pPr>
        <w:ind w:left="630" w:leftChars="300" w:firstLine="411" w:firstLineChars="196"/>
        <w:rPr>
          <w:rFonts w:ascii="宋体" w:hAnsi="宋体"/>
          <w:szCs w:val="21"/>
        </w:rPr>
      </w:pPr>
      <w:r>
        <w:rPr>
          <w:rFonts w:hint="eastAsia" w:ascii="宋体" w:hAnsi="宋体"/>
          <w:szCs w:val="21"/>
        </w:rPr>
        <w:t>第五章  附件</w:t>
      </w:r>
    </w:p>
    <w:p>
      <w:pPr>
        <w:ind w:left="630" w:leftChars="300" w:firstLine="411" w:firstLineChars="196"/>
        <w:rPr>
          <w:rFonts w:ascii="宋体" w:hAnsi="宋体"/>
          <w:szCs w:val="21"/>
        </w:rPr>
      </w:pPr>
    </w:p>
    <w:p>
      <w:pPr>
        <w:rPr>
          <w:rFonts w:ascii="Times New Roman" w:hAnsi="Times New Roman"/>
          <w:b/>
          <w:sz w:val="24"/>
          <w:szCs w:val="24"/>
        </w:rPr>
      </w:pPr>
    </w:p>
    <w:p>
      <w:pPr>
        <w:rPr>
          <w:rFonts w:ascii="Times New Roman" w:hAnsi="Times New Roman"/>
          <w:b/>
          <w:sz w:val="24"/>
          <w:szCs w:val="24"/>
        </w:rPr>
      </w:pPr>
      <w:r>
        <w:rPr>
          <w:rFonts w:hint="eastAsia" w:ascii="Times New Roman" w:hAnsi="Times New Roman"/>
          <w:b/>
          <w:sz w:val="24"/>
          <w:szCs w:val="24"/>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评标要求</w:t>
      </w:r>
    </w:p>
    <w:p>
      <w:pPr>
        <w:ind w:left="630" w:leftChars="300" w:firstLine="411" w:firstLineChars="196"/>
        <w:rPr>
          <w:rFonts w:ascii="宋体" w:hAnsi="宋体"/>
          <w:szCs w:val="21"/>
        </w:rPr>
      </w:pPr>
      <w:r>
        <w:rPr>
          <w:rFonts w:hint="eastAsia" w:ascii="宋体" w:hAnsi="宋体"/>
          <w:szCs w:val="21"/>
        </w:rPr>
        <w:t>第七章  评标程序及评标方法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left="630" w:leftChars="300" w:firstLine="411" w:firstLineChars="196"/>
        <w:rPr>
          <w:rFonts w:ascii="宋体" w:hAnsi="宋体"/>
          <w:szCs w:val="21"/>
        </w:rPr>
      </w:pPr>
      <w:r>
        <w:rPr>
          <w:rFonts w:hint="eastAsia" w:ascii="宋体" w:hAnsi="宋体"/>
          <w:szCs w:val="21"/>
        </w:rPr>
        <w:t>第十一章  质疑处理</w:t>
      </w:r>
    </w:p>
    <w:p>
      <w:pPr>
        <w:rPr>
          <w:rFonts w:ascii="Times New Roman" w:hAnsi="Times New Roman"/>
          <w:sz w:val="24"/>
          <w:szCs w:val="24"/>
        </w:rPr>
      </w:pPr>
    </w:p>
    <w:p>
      <w:pPr>
        <w:rPr>
          <w:rFonts w:ascii="Times New Roman" w:hAnsi="Times New Roman"/>
          <w:b/>
          <w:szCs w:val="24"/>
        </w:rPr>
      </w:pPr>
      <w:r>
        <w:rPr>
          <w:rFonts w:hint="eastAsia" w:ascii="Times New Roman" w:hAnsi="Times New Roman"/>
          <w:b/>
          <w:szCs w:val="24"/>
        </w:rPr>
        <w:t>备注：</w:t>
      </w:r>
    </w:p>
    <w:p>
      <w:pPr>
        <w:ind w:firstLine="420" w:firstLineChars="200"/>
        <w:rPr>
          <w:rFonts w:ascii="Times New Roman" w:hAnsi="Times New Roman"/>
          <w:b/>
          <w:szCs w:val="24"/>
        </w:rPr>
      </w:pPr>
      <w:r>
        <w:rPr>
          <w:rFonts w:hint="eastAsia" w:ascii="宋体" w:hAnsi="宋体"/>
          <w:szCs w:val="21"/>
        </w:rPr>
        <w:t>1.本招标文件分为第一册“专用条款”和第二册“通用条款”。</w:t>
      </w:r>
    </w:p>
    <w:p>
      <w:pPr>
        <w:spacing w:line="360" w:lineRule="auto"/>
        <w:ind w:firstLine="420" w:firstLineChars="200"/>
        <w:jc w:val="left"/>
        <w:rPr>
          <w:rFonts w:ascii="宋体" w:hAnsi="宋体"/>
          <w:szCs w:val="21"/>
        </w:rPr>
      </w:pPr>
      <w:r>
        <w:rPr>
          <w:rFonts w:hint="eastAsia" w:ascii="宋体" w:hAnsi="宋体"/>
          <w:szCs w:val="21"/>
        </w:rPr>
        <w:t>2.“专用条款”是对本次采购项目的具体要求，包含招标公告、招标项目需求、投标文件格式、合同及履约情况反馈格式等内容。</w:t>
      </w:r>
    </w:p>
    <w:p>
      <w:pPr>
        <w:spacing w:line="360" w:lineRule="auto"/>
        <w:ind w:firstLine="420" w:firstLineChars="200"/>
        <w:jc w:val="left"/>
        <w:rPr>
          <w:rFonts w:ascii="宋体" w:hAnsi="宋体"/>
          <w:szCs w:val="21"/>
        </w:rPr>
      </w:pPr>
      <w:r>
        <w:rPr>
          <w:rFonts w:hint="eastAsia" w:ascii="宋体" w:hAnsi="宋体"/>
          <w:szCs w:val="21"/>
        </w:rPr>
        <w:t>3.“通用条款”是适用于政府采购项目的基础性条款，具有普遍性和通用性。</w:t>
      </w:r>
    </w:p>
    <w:p>
      <w:pPr>
        <w:spacing w:line="360" w:lineRule="auto"/>
        <w:ind w:firstLine="420" w:firstLineChars="200"/>
        <w:jc w:val="left"/>
        <w:rPr>
          <w:rFonts w:ascii="宋体" w:hAnsi="宋体"/>
          <w:szCs w:val="21"/>
        </w:rPr>
      </w:pPr>
      <w:r>
        <w:rPr>
          <w:rFonts w:hint="eastAsia" w:ascii="宋体" w:hAnsi="宋体"/>
          <w:szCs w:val="21"/>
        </w:rPr>
        <w:t>4.当出现“专用条款”和“通用条款”表述不一致或有冲突时，以“专用条款”为准。</w:t>
      </w:r>
    </w:p>
    <w:p>
      <w:pPr>
        <w:rPr>
          <w:rFonts w:ascii="宋体" w:hAnsi="宋体"/>
          <w:szCs w:val="21"/>
        </w:rPr>
      </w:pPr>
    </w:p>
    <w:p>
      <w:pPr>
        <w:widowControl/>
        <w:jc w:val="left"/>
        <w:rPr>
          <w:rFonts w:ascii="宋体" w:hAnsi="宋体" w:eastAsia="黑体"/>
          <w:b/>
          <w:bCs/>
          <w:kern w:val="44"/>
          <w:sz w:val="28"/>
          <w:szCs w:val="44"/>
        </w:rPr>
      </w:pPr>
      <w:r>
        <w:rPr>
          <w:rFonts w:ascii="Times New Roman" w:hAnsi="Times New Roman"/>
          <w:szCs w:val="24"/>
        </w:rPr>
        <w:br w:type="page"/>
      </w:r>
    </w:p>
    <w:p>
      <w:pPr>
        <w:keepNext/>
        <w:keepLines/>
        <w:spacing w:before="340" w:after="330" w:line="360" w:lineRule="auto"/>
        <w:jc w:val="center"/>
        <w:outlineLvl w:val="0"/>
        <w:rPr>
          <w:rFonts w:ascii="宋体" w:hAnsi="宋体" w:eastAsia="黑体"/>
          <w:b/>
          <w:bCs/>
          <w:kern w:val="44"/>
          <w:sz w:val="24"/>
          <w:szCs w:val="44"/>
        </w:rPr>
      </w:pPr>
      <w:r>
        <w:rPr>
          <w:rFonts w:hint="eastAsia" w:ascii="宋体" w:hAnsi="宋体" w:eastAsia="黑体"/>
          <w:b/>
          <w:bCs/>
          <w:kern w:val="44"/>
          <w:sz w:val="28"/>
          <w:szCs w:val="44"/>
        </w:rPr>
        <w:t>第一册  专用条款</w:t>
      </w:r>
    </w:p>
    <w:p>
      <w:pPr>
        <w:keepNext/>
        <w:keepLines/>
        <w:adjustRightInd w:val="0"/>
        <w:spacing w:before="260" w:after="260" w:line="360" w:lineRule="exact"/>
        <w:jc w:val="center"/>
        <w:textAlignment w:val="baseline"/>
        <w:outlineLvl w:val="1"/>
        <w:rPr>
          <w:rFonts w:ascii="宋体" w:hAnsi="宋体"/>
          <w:b/>
          <w:bCs/>
          <w:kern w:val="0"/>
          <w:sz w:val="24"/>
          <w:szCs w:val="20"/>
        </w:rPr>
      </w:pPr>
      <w:r>
        <w:rPr>
          <w:rFonts w:hint="eastAsia" w:ascii="宋体" w:hAnsi="宋体"/>
          <w:b/>
          <w:bCs/>
          <w:kern w:val="0"/>
          <w:sz w:val="24"/>
          <w:szCs w:val="20"/>
        </w:rPr>
        <w:t>第一章  招标公告</w:t>
      </w:r>
    </w:p>
    <w:p>
      <w:pPr>
        <w:spacing w:line="360" w:lineRule="exact"/>
        <w:rPr>
          <w:rFonts w:ascii="宋体" w:hAnsi="宋体"/>
          <w:vanish/>
          <w:szCs w:val="21"/>
        </w:rPr>
      </w:pPr>
    </w:p>
    <w:p>
      <w:pPr>
        <w:widowControl/>
        <w:spacing w:line="360" w:lineRule="exact"/>
        <w:rPr>
          <w:rFonts w:ascii="宋体" w:hAnsi="宋体"/>
          <w:szCs w:val="24"/>
        </w:rPr>
      </w:pPr>
      <w:bookmarkStart w:id="0" w:name="OLE_LINK1"/>
      <w:bookmarkStart w:id="1" w:name="OLE_LINK2"/>
      <w:r>
        <w:rPr>
          <w:rFonts w:ascii="宋体" w:hAnsi="宋体"/>
          <w:szCs w:val="24"/>
        </w:rPr>
        <w:t>项目概况</w:t>
      </w:r>
      <w:r>
        <w:rPr>
          <w:rFonts w:hint="eastAsia" w:ascii="宋体" w:hAnsi="宋体"/>
          <w:szCs w:val="24"/>
        </w:rPr>
        <w:t>:</w:t>
      </w:r>
    </w:p>
    <w:p>
      <w:pPr>
        <w:widowControl/>
        <w:spacing w:line="360" w:lineRule="exact"/>
        <w:ind w:firstLine="424" w:firstLineChars="202"/>
        <w:rPr>
          <w:rFonts w:ascii="宋体" w:hAnsi="宋体"/>
          <w:szCs w:val="24"/>
        </w:rPr>
      </w:pPr>
      <w:r>
        <w:rPr>
          <w:rFonts w:hint="eastAsia" w:asciiTheme="minorEastAsia" w:hAnsiTheme="minorEastAsia" w:eastAsiaTheme="minorEastAsia"/>
          <w:szCs w:val="24"/>
          <w:lang w:eastAsia="zh-CN"/>
        </w:rPr>
        <w:t>深圳市智能网联汽车产品地方标准体系建设服务项目</w:t>
      </w:r>
      <w:r>
        <w:rPr>
          <w:rFonts w:ascii="宋体" w:hAnsi="宋体"/>
          <w:szCs w:val="24"/>
        </w:rPr>
        <w:t xml:space="preserve">的潜在投标人应在（本公告附件中）获取招标文件，并于 </w:t>
      </w:r>
      <w:r>
        <w:rPr>
          <w:rFonts w:ascii="宋体" w:hAnsi="宋体"/>
          <w:b/>
          <w:szCs w:val="24"/>
          <w:u w:val="single"/>
        </w:rPr>
        <w:t>2023年</w:t>
      </w:r>
      <w:r>
        <w:rPr>
          <w:rFonts w:hint="eastAsia" w:ascii="宋体" w:hAnsi="宋体"/>
          <w:b/>
          <w:szCs w:val="24"/>
          <w:u w:val="single"/>
          <w:lang w:val="en-US" w:eastAsia="zh-CN"/>
        </w:rPr>
        <w:t>06</w:t>
      </w:r>
      <w:r>
        <w:rPr>
          <w:rFonts w:ascii="宋体" w:hAnsi="宋体"/>
          <w:b/>
          <w:szCs w:val="24"/>
          <w:u w:val="single"/>
        </w:rPr>
        <w:t>月</w:t>
      </w:r>
      <w:r>
        <w:rPr>
          <w:rFonts w:hint="eastAsia" w:ascii="宋体" w:hAnsi="宋体"/>
          <w:b/>
          <w:szCs w:val="24"/>
          <w:u w:val="single"/>
          <w:lang w:val="en-US" w:eastAsia="zh-CN"/>
        </w:rPr>
        <w:t>05</w:t>
      </w:r>
      <w:r>
        <w:rPr>
          <w:rFonts w:ascii="宋体" w:hAnsi="宋体"/>
          <w:b/>
          <w:szCs w:val="24"/>
          <w:u w:val="single"/>
        </w:rPr>
        <w:t>日</w:t>
      </w:r>
      <w:r>
        <w:rPr>
          <w:rFonts w:hint="eastAsia" w:ascii="宋体" w:hAnsi="宋体"/>
          <w:b/>
          <w:szCs w:val="24"/>
          <w:u w:val="single"/>
          <w:lang w:val="en-US" w:eastAsia="zh-CN"/>
        </w:rPr>
        <w:t>09</w:t>
      </w:r>
      <w:r>
        <w:rPr>
          <w:rFonts w:hint="eastAsia" w:ascii="宋体" w:hAnsi="宋体"/>
          <w:b/>
          <w:szCs w:val="24"/>
          <w:u w:val="single"/>
        </w:rPr>
        <w:t>:00</w:t>
      </w:r>
      <w:r>
        <w:rPr>
          <w:rFonts w:ascii="宋体" w:hAnsi="宋体"/>
          <w:b/>
          <w:szCs w:val="24"/>
          <w:u w:val="single"/>
        </w:rPr>
        <w:t>（北京时间）</w:t>
      </w:r>
      <w:r>
        <w:rPr>
          <w:rFonts w:ascii="宋体" w:hAnsi="宋体"/>
          <w:szCs w:val="24"/>
        </w:rPr>
        <w:t xml:space="preserve">前递交投标文件。 </w:t>
      </w:r>
    </w:p>
    <w:p>
      <w:pPr>
        <w:widowControl/>
        <w:spacing w:line="360" w:lineRule="exact"/>
        <w:rPr>
          <w:rFonts w:ascii="宋体" w:hAnsi="宋体"/>
          <w:szCs w:val="24"/>
        </w:rPr>
      </w:pPr>
    </w:p>
    <w:p>
      <w:pPr>
        <w:widowControl/>
        <w:spacing w:line="360" w:lineRule="exact"/>
        <w:rPr>
          <w:rFonts w:ascii="宋体" w:hAnsi="宋体"/>
          <w:szCs w:val="24"/>
        </w:rPr>
      </w:pPr>
      <w:r>
        <w:rPr>
          <w:rFonts w:ascii="宋体" w:hAnsi="宋体"/>
          <w:szCs w:val="24"/>
        </w:rPr>
        <w:t>一、项目基本情况</w:t>
      </w:r>
    </w:p>
    <w:p>
      <w:pPr>
        <w:widowControl/>
        <w:spacing w:line="360" w:lineRule="exact"/>
        <w:ind w:firstLine="424" w:firstLineChars="202"/>
        <w:rPr>
          <w:rFonts w:ascii="宋体" w:hAnsi="宋体"/>
          <w:szCs w:val="21"/>
        </w:rPr>
      </w:pPr>
      <w:r>
        <w:rPr>
          <w:rFonts w:ascii="宋体" w:hAnsi="宋体"/>
          <w:szCs w:val="21"/>
        </w:rPr>
        <w:t>1</w:t>
      </w:r>
      <w:r>
        <w:rPr>
          <w:rFonts w:hint="eastAsia" w:ascii="宋体" w:hAnsi="宋体"/>
          <w:szCs w:val="21"/>
        </w:rPr>
        <w:t>、</w:t>
      </w:r>
      <w:r>
        <w:rPr>
          <w:rFonts w:ascii="宋体" w:hAnsi="宋体"/>
          <w:szCs w:val="21"/>
        </w:rPr>
        <w:t>项目编号：</w:t>
      </w:r>
      <w:r>
        <w:rPr>
          <w:rFonts w:hint="eastAsia" w:ascii="宋体" w:hAnsi="宋体"/>
          <w:szCs w:val="21"/>
          <w:lang w:eastAsia="zh-CN"/>
        </w:rPr>
        <w:t>SZDL2023001077</w:t>
      </w:r>
    </w:p>
    <w:p>
      <w:pPr>
        <w:widowControl/>
        <w:spacing w:line="360" w:lineRule="exact"/>
        <w:ind w:firstLine="424" w:firstLineChars="202"/>
        <w:rPr>
          <w:rFonts w:hint="eastAsia" w:ascii="宋体" w:hAnsi="宋体" w:eastAsia="宋体"/>
          <w:szCs w:val="21"/>
          <w:lang w:eastAsia="zh-CN"/>
        </w:rPr>
      </w:pPr>
      <w:r>
        <w:rPr>
          <w:rFonts w:ascii="宋体" w:hAnsi="宋体"/>
          <w:szCs w:val="21"/>
        </w:rPr>
        <w:t>2</w:t>
      </w:r>
      <w:r>
        <w:rPr>
          <w:rFonts w:hint="eastAsia" w:ascii="宋体" w:hAnsi="宋体"/>
          <w:szCs w:val="21"/>
        </w:rPr>
        <w:t>、</w:t>
      </w:r>
      <w:r>
        <w:rPr>
          <w:rFonts w:ascii="宋体" w:hAnsi="宋体"/>
          <w:szCs w:val="21"/>
        </w:rPr>
        <w:t>项目名称：</w:t>
      </w:r>
      <w:r>
        <w:rPr>
          <w:rFonts w:hint="eastAsia" w:ascii="宋体" w:hAnsi="宋体"/>
          <w:szCs w:val="21"/>
          <w:lang w:eastAsia="zh-CN"/>
        </w:rPr>
        <w:t>深圳市智能网联汽车产品地方标准体系建设服务项目</w:t>
      </w:r>
    </w:p>
    <w:p>
      <w:pPr>
        <w:widowControl/>
        <w:spacing w:line="360" w:lineRule="exact"/>
        <w:ind w:firstLine="424" w:firstLineChars="202"/>
        <w:rPr>
          <w:rFonts w:ascii="宋体" w:hAnsi="宋体"/>
          <w:szCs w:val="21"/>
        </w:rPr>
      </w:pPr>
      <w:r>
        <w:rPr>
          <w:rFonts w:ascii="宋体" w:hAnsi="宋体"/>
          <w:szCs w:val="21"/>
        </w:rPr>
        <w:t>3</w:t>
      </w:r>
      <w:r>
        <w:rPr>
          <w:rFonts w:hint="eastAsia" w:ascii="宋体" w:hAnsi="宋体"/>
          <w:szCs w:val="21"/>
        </w:rPr>
        <w:t>、</w:t>
      </w:r>
      <w:r>
        <w:rPr>
          <w:rFonts w:ascii="宋体" w:hAnsi="宋体"/>
          <w:szCs w:val="21"/>
        </w:rPr>
        <w:t>预算金额：</w:t>
      </w:r>
      <w:r>
        <w:rPr>
          <w:rFonts w:hint="eastAsia" w:ascii="宋体" w:hAnsi="宋体"/>
          <w:szCs w:val="21"/>
        </w:rPr>
        <w:t>人民币</w:t>
      </w:r>
      <w:r>
        <w:rPr>
          <w:rFonts w:ascii="宋体" w:hAnsi="宋体"/>
          <w:szCs w:val="21"/>
        </w:rPr>
        <w:t>1,</w:t>
      </w:r>
      <w:r>
        <w:rPr>
          <w:rFonts w:hint="eastAsia" w:ascii="宋体" w:hAnsi="宋体"/>
          <w:szCs w:val="21"/>
        </w:rPr>
        <w:t>20</w:t>
      </w:r>
      <w:r>
        <w:rPr>
          <w:rFonts w:ascii="宋体" w:hAnsi="宋体"/>
          <w:szCs w:val="21"/>
        </w:rPr>
        <w:t>0,000.00元</w:t>
      </w:r>
    </w:p>
    <w:p>
      <w:pPr>
        <w:widowControl/>
        <w:spacing w:line="360" w:lineRule="exact"/>
        <w:ind w:firstLine="424" w:firstLineChars="202"/>
        <w:rPr>
          <w:rFonts w:ascii="宋体" w:hAnsi="宋体"/>
          <w:szCs w:val="21"/>
        </w:rPr>
      </w:pPr>
      <w:r>
        <w:rPr>
          <w:rFonts w:ascii="宋体" w:hAnsi="宋体"/>
          <w:szCs w:val="21"/>
        </w:rPr>
        <w:t>4</w:t>
      </w:r>
      <w:r>
        <w:rPr>
          <w:rFonts w:hint="eastAsia" w:ascii="宋体" w:hAnsi="宋体"/>
          <w:szCs w:val="21"/>
        </w:rPr>
        <w:t>、</w:t>
      </w:r>
      <w:r>
        <w:rPr>
          <w:rFonts w:ascii="宋体" w:hAnsi="宋体"/>
          <w:szCs w:val="21"/>
        </w:rPr>
        <w:t>最高限价：</w:t>
      </w:r>
      <w:r>
        <w:rPr>
          <w:rFonts w:hint="eastAsia" w:ascii="宋体" w:hAnsi="宋体"/>
          <w:szCs w:val="21"/>
        </w:rPr>
        <w:t>人民币</w:t>
      </w:r>
      <w:r>
        <w:rPr>
          <w:rFonts w:ascii="宋体" w:hAnsi="宋体"/>
          <w:szCs w:val="21"/>
        </w:rPr>
        <w:t>1,</w:t>
      </w:r>
      <w:r>
        <w:rPr>
          <w:rFonts w:hint="eastAsia" w:ascii="宋体" w:hAnsi="宋体"/>
          <w:szCs w:val="21"/>
        </w:rPr>
        <w:t>20</w:t>
      </w:r>
      <w:r>
        <w:rPr>
          <w:rFonts w:ascii="宋体" w:hAnsi="宋体"/>
          <w:szCs w:val="21"/>
        </w:rPr>
        <w:t>0,000.00元</w:t>
      </w:r>
    </w:p>
    <w:p>
      <w:pPr>
        <w:widowControl/>
        <w:spacing w:line="360" w:lineRule="exact"/>
        <w:ind w:firstLine="424" w:firstLineChars="202"/>
        <w:rPr>
          <w:rFonts w:ascii="宋体" w:hAnsi="宋体"/>
          <w:szCs w:val="21"/>
        </w:rPr>
      </w:pPr>
      <w:r>
        <w:rPr>
          <w:rFonts w:ascii="宋体" w:hAnsi="宋体"/>
          <w:szCs w:val="21"/>
        </w:rPr>
        <w:t>5</w:t>
      </w:r>
      <w:r>
        <w:rPr>
          <w:rFonts w:hint="eastAsia" w:ascii="宋体" w:hAnsi="宋体"/>
          <w:szCs w:val="21"/>
        </w:rPr>
        <w:t>、</w:t>
      </w:r>
      <w:r>
        <w:rPr>
          <w:rFonts w:ascii="宋体" w:hAnsi="宋体"/>
          <w:szCs w:val="21"/>
        </w:rPr>
        <w:t>采购需求：</w:t>
      </w:r>
    </w:p>
    <w:tbl>
      <w:tblPr>
        <w:tblStyle w:val="43"/>
        <w:tblW w:w="9214" w:type="dxa"/>
        <w:tblInd w:w="60" w:type="dxa"/>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Layout w:type="fixed"/>
        <w:tblCellMar>
          <w:top w:w="60" w:type="dxa"/>
          <w:left w:w="60" w:type="dxa"/>
          <w:bottom w:w="60" w:type="dxa"/>
          <w:right w:w="60" w:type="dxa"/>
        </w:tblCellMar>
      </w:tblPr>
      <w:tblGrid>
        <w:gridCol w:w="3261"/>
        <w:gridCol w:w="850"/>
        <w:gridCol w:w="992"/>
        <w:gridCol w:w="2694"/>
        <w:gridCol w:w="1417"/>
      </w:tblGrid>
      <w:tr>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3261" w:type="dxa"/>
            <w:tcBorders>
              <w:top w:val="outset" w:color="AAAAAA" w:sz="6" w:space="0"/>
              <w:left w:val="outset" w:color="AAAAAA" w:sz="6" w:space="0"/>
              <w:bottom w:val="outset" w:color="AAAAAA" w:sz="6" w:space="0"/>
              <w:right w:val="outset" w:color="AAAAAA" w:sz="6" w:space="0"/>
            </w:tcBorders>
            <w:shd w:val="clear" w:color="auto" w:fill="ABCDEF"/>
            <w:vAlign w:val="center"/>
          </w:tcPr>
          <w:p>
            <w:pPr>
              <w:widowControl/>
              <w:spacing w:line="360" w:lineRule="exact"/>
              <w:jc w:val="center"/>
              <w:rPr>
                <w:rFonts w:ascii="宋体" w:hAnsi="宋体" w:cs="宋体"/>
                <w:szCs w:val="24"/>
              </w:rPr>
            </w:pPr>
            <w:r>
              <w:rPr>
                <w:rFonts w:hint="eastAsia" w:ascii="宋体" w:hAnsi="宋体" w:cs="宋体"/>
                <w:szCs w:val="24"/>
              </w:rPr>
              <w:t>标的名称</w:t>
            </w:r>
          </w:p>
        </w:tc>
        <w:tc>
          <w:tcPr>
            <w:tcW w:w="850" w:type="dxa"/>
            <w:tcBorders>
              <w:top w:val="outset" w:color="AAAAAA" w:sz="6" w:space="0"/>
              <w:left w:val="outset" w:color="AAAAAA" w:sz="6" w:space="0"/>
              <w:bottom w:val="outset" w:color="AAAAAA" w:sz="6" w:space="0"/>
              <w:right w:val="outset" w:color="AAAAAA" w:sz="6" w:space="0"/>
            </w:tcBorders>
            <w:shd w:val="clear" w:color="auto" w:fill="ABCDEF"/>
            <w:vAlign w:val="center"/>
          </w:tcPr>
          <w:p>
            <w:pPr>
              <w:widowControl/>
              <w:spacing w:line="360" w:lineRule="exact"/>
              <w:jc w:val="center"/>
              <w:rPr>
                <w:rFonts w:ascii="宋体" w:hAnsi="宋体" w:cs="宋体"/>
                <w:szCs w:val="24"/>
              </w:rPr>
            </w:pPr>
            <w:r>
              <w:rPr>
                <w:rFonts w:hint="eastAsia" w:ascii="宋体" w:hAnsi="宋体" w:cs="宋体"/>
                <w:szCs w:val="24"/>
              </w:rPr>
              <w:t>数量</w:t>
            </w:r>
          </w:p>
        </w:tc>
        <w:tc>
          <w:tcPr>
            <w:tcW w:w="992" w:type="dxa"/>
            <w:tcBorders>
              <w:top w:val="outset" w:color="AAAAAA" w:sz="6" w:space="0"/>
              <w:left w:val="outset" w:color="AAAAAA" w:sz="6" w:space="0"/>
              <w:bottom w:val="outset" w:color="AAAAAA" w:sz="6" w:space="0"/>
              <w:right w:val="outset" w:color="AAAAAA" w:sz="6" w:space="0"/>
            </w:tcBorders>
            <w:shd w:val="clear" w:color="auto" w:fill="ABCDEF"/>
            <w:vAlign w:val="center"/>
          </w:tcPr>
          <w:p>
            <w:pPr>
              <w:widowControl/>
              <w:spacing w:line="360" w:lineRule="exact"/>
              <w:jc w:val="center"/>
              <w:rPr>
                <w:rFonts w:ascii="宋体" w:hAnsi="宋体" w:cs="宋体"/>
                <w:szCs w:val="24"/>
              </w:rPr>
            </w:pPr>
            <w:r>
              <w:rPr>
                <w:rFonts w:hint="eastAsia" w:ascii="宋体" w:hAnsi="宋体" w:cs="宋体"/>
                <w:szCs w:val="24"/>
              </w:rPr>
              <w:t>单位</w:t>
            </w:r>
          </w:p>
        </w:tc>
        <w:tc>
          <w:tcPr>
            <w:tcW w:w="2694" w:type="dxa"/>
            <w:tcBorders>
              <w:top w:val="outset" w:color="AAAAAA" w:sz="6" w:space="0"/>
              <w:left w:val="outset" w:color="AAAAAA" w:sz="6" w:space="0"/>
              <w:bottom w:val="outset" w:color="AAAAAA" w:sz="6" w:space="0"/>
              <w:right w:val="outset" w:color="AAAAAA" w:sz="6" w:space="0"/>
            </w:tcBorders>
            <w:shd w:val="clear" w:color="auto" w:fill="ABCDEF"/>
            <w:vAlign w:val="center"/>
          </w:tcPr>
          <w:p>
            <w:pPr>
              <w:widowControl/>
              <w:spacing w:line="360" w:lineRule="exact"/>
              <w:jc w:val="center"/>
              <w:rPr>
                <w:rFonts w:ascii="宋体" w:hAnsi="宋体" w:cs="宋体"/>
                <w:szCs w:val="24"/>
              </w:rPr>
            </w:pPr>
            <w:r>
              <w:rPr>
                <w:rFonts w:hint="eastAsia" w:ascii="宋体" w:hAnsi="宋体" w:cs="宋体"/>
                <w:szCs w:val="24"/>
              </w:rPr>
              <w:t>简要技术需求或服务要求</w:t>
            </w:r>
          </w:p>
        </w:tc>
        <w:tc>
          <w:tcPr>
            <w:tcW w:w="1417" w:type="dxa"/>
            <w:tcBorders>
              <w:top w:val="outset" w:color="AAAAAA" w:sz="6" w:space="0"/>
              <w:left w:val="outset" w:color="AAAAAA" w:sz="6" w:space="0"/>
              <w:bottom w:val="outset" w:color="AAAAAA" w:sz="6" w:space="0"/>
              <w:right w:val="outset" w:color="AAAAAA" w:sz="6" w:space="0"/>
            </w:tcBorders>
            <w:shd w:val="clear" w:color="auto" w:fill="ABCDEF"/>
            <w:vAlign w:val="center"/>
          </w:tcPr>
          <w:p>
            <w:pPr>
              <w:widowControl/>
              <w:spacing w:line="360" w:lineRule="exact"/>
              <w:jc w:val="center"/>
              <w:rPr>
                <w:rFonts w:ascii="宋体" w:hAnsi="宋体" w:cs="宋体"/>
                <w:szCs w:val="24"/>
              </w:rPr>
            </w:pPr>
            <w:r>
              <w:rPr>
                <w:rFonts w:hint="eastAsia" w:ascii="宋体" w:hAnsi="宋体" w:cs="宋体"/>
                <w:szCs w:val="24"/>
              </w:rPr>
              <w:t>备注</w:t>
            </w:r>
          </w:p>
        </w:tc>
      </w:tr>
      <w:tr>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3261" w:type="dxa"/>
            <w:tcBorders>
              <w:top w:val="outset" w:color="AAAAAA" w:sz="6" w:space="0"/>
              <w:left w:val="outset" w:color="AAAAAA" w:sz="6" w:space="0"/>
              <w:bottom w:val="outset" w:color="AAAAAA" w:sz="6" w:space="0"/>
              <w:right w:val="outset" w:color="AAAAAA" w:sz="6" w:space="0"/>
            </w:tcBorders>
            <w:shd w:val="clear" w:color="auto" w:fill="auto"/>
            <w:vAlign w:val="center"/>
          </w:tcPr>
          <w:p>
            <w:pPr>
              <w:widowControl/>
              <w:spacing w:line="360" w:lineRule="exact"/>
              <w:jc w:val="center"/>
              <w:rPr>
                <w:rFonts w:hint="eastAsia" w:ascii="宋体" w:hAnsi="宋体" w:eastAsia="宋体" w:cs="宋体"/>
                <w:szCs w:val="24"/>
                <w:lang w:eastAsia="zh-CN"/>
              </w:rPr>
            </w:pPr>
            <w:r>
              <w:rPr>
                <w:rFonts w:hint="eastAsia" w:ascii="宋体" w:hAnsi="宋体" w:cs="宋体"/>
                <w:szCs w:val="24"/>
                <w:lang w:eastAsia="zh-CN"/>
              </w:rPr>
              <w:t>深圳市智能网联汽车产品地方标准体系建设服务项目</w:t>
            </w:r>
          </w:p>
        </w:tc>
        <w:tc>
          <w:tcPr>
            <w:tcW w:w="850" w:type="dxa"/>
            <w:tcBorders>
              <w:top w:val="outset" w:color="AAAAAA" w:sz="6" w:space="0"/>
              <w:left w:val="outset" w:color="AAAAAA" w:sz="6" w:space="0"/>
              <w:bottom w:val="outset" w:color="AAAAAA" w:sz="6" w:space="0"/>
              <w:right w:val="outset" w:color="AAAAAA" w:sz="6" w:space="0"/>
            </w:tcBorders>
            <w:shd w:val="clear" w:color="auto" w:fill="auto"/>
            <w:vAlign w:val="center"/>
          </w:tcPr>
          <w:p>
            <w:pPr>
              <w:spacing w:line="360" w:lineRule="exact"/>
              <w:jc w:val="center"/>
              <w:rPr>
                <w:rFonts w:ascii="宋体" w:hAnsi="宋体" w:cs="宋体"/>
                <w:szCs w:val="24"/>
              </w:rPr>
            </w:pPr>
            <w:r>
              <w:rPr>
                <w:rFonts w:hint="eastAsia" w:ascii="宋体" w:hAnsi="宋体" w:cs="宋体"/>
                <w:szCs w:val="24"/>
              </w:rPr>
              <w:t>1</w:t>
            </w:r>
          </w:p>
        </w:tc>
        <w:tc>
          <w:tcPr>
            <w:tcW w:w="992" w:type="dxa"/>
            <w:tcBorders>
              <w:top w:val="outset" w:color="AAAAAA" w:sz="6" w:space="0"/>
              <w:left w:val="outset" w:color="AAAAAA" w:sz="6" w:space="0"/>
              <w:bottom w:val="outset" w:color="AAAAAA" w:sz="6" w:space="0"/>
              <w:right w:val="outset" w:color="AAAAAA" w:sz="6" w:space="0"/>
            </w:tcBorders>
            <w:shd w:val="clear" w:color="auto" w:fill="auto"/>
            <w:vAlign w:val="center"/>
          </w:tcPr>
          <w:p>
            <w:pPr>
              <w:spacing w:line="360" w:lineRule="exact"/>
              <w:jc w:val="center"/>
              <w:rPr>
                <w:rFonts w:ascii="宋体" w:hAnsi="宋体" w:cs="宋体"/>
                <w:szCs w:val="24"/>
              </w:rPr>
            </w:pPr>
            <w:r>
              <w:rPr>
                <w:rFonts w:hint="eastAsia" w:ascii="宋体" w:hAnsi="宋体" w:cs="宋体"/>
                <w:szCs w:val="24"/>
              </w:rPr>
              <w:t>项</w:t>
            </w:r>
          </w:p>
        </w:tc>
        <w:tc>
          <w:tcPr>
            <w:tcW w:w="2694" w:type="dxa"/>
            <w:tcBorders>
              <w:top w:val="outset" w:color="AAAAAA" w:sz="6" w:space="0"/>
              <w:left w:val="outset" w:color="AAAAAA" w:sz="6" w:space="0"/>
              <w:bottom w:val="outset" w:color="AAAAAA" w:sz="6" w:space="0"/>
              <w:right w:val="outset" w:color="AAAAAA" w:sz="6" w:space="0"/>
            </w:tcBorders>
            <w:shd w:val="clear" w:color="auto" w:fill="auto"/>
            <w:vAlign w:val="center"/>
          </w:tcPr>
          <w:p>
            <w:pPr>
              <w:spacing w:line="360" w:lineRule="exact"/>
              <w:jc w:val="center"/>
              <w:rPr>
                <w:rFonts w:ascii="宋体" w:hAnsi="宋体" w:cs="宋体"/>
                <w:szCs w:val="24"/>
              </w:rPr>
            </w:pPr>
            <w:r>
              <w:rPr>
                <w:rFonts w:hint="eastAsia" w:ascii="宋体" w:hAnsi="宋体" w:cs="宋体"/>
                <w:szCs w:val="24"/>
              </w:rPr>
              <w:t>详见招标文件</w:t>
            </w:r>
          </w:p>
        </w:tc>
        <w:tc>
          <w:tcPr>
            <w:tcW w:w="1417" w:type="dxa"/>
            <w:tcBorders>
              <w:top w:val="outset" w:color="AAAAAA" w:sz="6" w:space="0"/>
              <w:left w:val="outset" w:color="AAAAAA" w:sz="6" w:space="0"/>
              <w:bottom w:val="outset" w:color="AAAAAA" w:sz="6" w:space="0"/>
              <w:right w:val="outset" w:color="AAAAAA" w:sz="6" w:space="0"/>
            </w:tcBorders>
            <w:shd w:val="clear" w:color="auto" w:fill="auto"/>
            <w:vAlign w:val="center"/>
          </w:tcPr>
          <w:p>
            <w:pPr>
              <w:widowControl/>
              <w:spacing w:line="360" w:lineRule="exact"/>
              <w:jc w:val="center"/>
              <w:rPr>
                <w:rFonts w:ascii="宋体" w:hAnsi="宋体" w:cs="宋体"/>
                <w:szCs w:val="24"/>
              </w:rPr>
            </w:pPr>
            <w:r>
              <w:rPr>
                <w:rFonts w:hint="eastAsia" w:ascii="宋体" w:hAnsi="宋体" w:cs="宋体"/>
                <w:szCs w:val="24"/>
              </w:rPr>
              <w:t>无</w:t>
            </w:r>
          </w:p>
        </w:tc>
      </w:tr>
    </w:tbl>
    <w:p>
      <w:pPr>
        <w:widowControl/>
        <w:spacing w:line="360" w:lineRule="exact"/>
        <w:ind w:firstLine="424" w:firstLineChars="202"/>
        <w:rPr>
          <w:rFonts w:ascii="宋体" w:hAnsi="宋体"/>
          <w:szCs w:val="21"/>
        </w:rPr>
      </w:pPr>
      <w:r>
        <w:rPr>
          <w:rFonts w:ascii="宋体" w:hAnsi="宋体"/>
          <w:szCs w:val="21"/>
        </w:rPr>
        <w:t>6</w:t>
      </w:r>
      <w:r>
        <w:rPr>
          <w:rFonts w:hint="eastAsia" w:ascii="宋体" w:hAnsi="宋体"/>
          <w:szCs w:val="21"/>
        </w:rPr>
        <w:t>、</w:t>
      </w:r>
      <w:r>
        <w:rPr>
          <w:rFonts w:ascii="宋体" w:hAnsi="宋体"/>
          <w:szCs w:val="21"/>
        </w:rPr>
        <w:t>合同履行期限：</w:t>
      </w:r>
      <w:r>
        <w:rPr>
          <w:rFonts w:hint="eastAsia" w:asciiTheme="minorEastAsia" w:hAnsiTheme="minorEastAsia" w:eastAsiaTheme="minorEastAsia"/>
          <w:szCs w:val="21"/>
        </w:rPr>
        <w:t>详见招标文件</w:t>
      </w:r>
    </w:p>
    <w:p>
      <w:pPr>
        <w:widowControl/>
        <w:spacing w:line="360" w:lineRule="exact"/>
        <w:ind w:firstLine="424" w:firstLineChars="202"/>
        <w:rPr>
          <w:rFonts w:ascii="宋体" w:hAnsi="宋体"/>
          <w:szCs w:val="21"/>
        </w:rPr>
      </w:pPr>
      <w:r>
        <w:rPr>
          <w:rFonts w:ascii="宋体" w:hAnsi="宋体"/>
          <w:szCs w:val="21"/>
        </w:rPr>
        <w:t>7</w:t>
      </w:r>
      <w:r>
        <w:rPr>
          <w:rFonts w:hint="eastAsia" w:ascii="宋体" w:hAnsi="宋体"/>
          <w:szCs w:val="21"/>
        </w:rPr>
        <w:t>、本项目（是/否）接受联合体投标：详见“申请人的资格要求”</w:t>
      </w:r>
    </w:p>
    <w:p>
      <w:pPr>
        <w:widowControl/>
        <w:spacing w:line="360" w:lineRule="exact"/>
        <w:rPr>
          <w:rFonts w:ascii="宋体" w:hAnsi="宋体"/>
          <w:szCs w:val="21"/>
        </w:rPr>
      </w:pPr>
    </w:p>
    <w:p>
      <w:pPr>
        <w:widowControl/>
        <w:spacing w:line="360" w:lineRule="exact"/>
        <w:rPr>
          <w:rFonts w:ascii="宋体" w:hAnsi="宋体"/>
          <w:szCs w:val="24"/>
        </w:rPr>
      </w:pPr>
      <w:r>
        <w:rPr>
          <w:rFonts w:ascii="宋体" w:hAnsi="宋体"/>
          <w:szCs w:val="24"/>
        </w:rPr>
        <w:t>二、申请人的资格要求：</w:t>
      </w:r>
    </w:p>
    <w:p>
      <w:pPr>
        <w:spacing w:line="360" w:lineRule="exact"/>
        <w:ind w:firstLine="424" w:firstLineChars="202"/>
        <w:rPr>
          <w:rFonts w:asciiTheme="minorEastAsia" w:hAnsiTheme="minorEastAsia" w:eastAsiaTheme="minorEastAsia"/>
          <w:szCs w:val="24"/>
        </w:rPr>
      </w:pPr>
      <w:r>
        <w:rPr>
          <w:rFonts w:asciiTheme="minorEastAsia" w:hAnsiTheme="minorEastAsia" w:eastAsiaTheme="minorEastAsia"/>
          <w:szCs w:val="24"/>
        </w:rPr>
        <w:t>1</w:t>
      </w:r>
      <w:r>
        <w:rPr>
          <w:rFonts w:hint="eastAsia" w:asciiTheme="minorEastAsia" w:hAnsiTheme="minorEastAsia" w:eastAsiaTheme="minorEastAsia"/>
          <w:szCs w:val="24"/>
        </w:rPr>
        <w:t>、</w:t>
      </w:r>
      <w:r>
        <w:rPr>
          <w:rFonts w:asciiTheme="minorEastAsia" w:hAnsiTheme="minorEastAsia" w:eastAsiaTheme="minorEastAsia"/>
          <w:szCs w:val="24"/>
        </w:rPr>
        <w:t>满足《中华人民共和国政府采购法》第二十二条规定</w:t>
      </w:r>
      <w:r>
        <w:rPr>
          <w:rFonts w:hint="eastAsia" w:asciiTheme="minorEastAsia" w:hAnsiTheme="minorEastAsia" w:eastAsiaTheme="minorEastAsia"/>
          <w:snapToGrid w:val="0"/>
          <w:szCs w:val="24"/>
        </w:rPr>
        <w:t>（须提供具有独立承担民事责任能力的法人或其他组织的营业执照或法人证书等证明材料扫描件以及《</w:t>
      </w:r>
      <w:r>
        <w:rPr>
          <w:rFonts w:hint="eastAsia" w:asciiTheme="minorEastAsia" w:hAnsiTheme="minorEastAsia" w:eastAsiaTheme="minorEastAsia"/>
          <w:szCs w:val="24"/>
        </w:rPr>
        <w:t>政府采购投标及履约承诺函</w:t>
      </w:r>
      <w:r>
        <w:rPr>
          <w:rFonts w:hint="eastAsia" w:asciiTheme="minorEastAsia" w:hAnsiTheme="minorEastAsia" w:eastAsiaTheme="minorEastAsia"/>
          <w:snapToGrid w:val="0"/>
          <w:szCs w:val="24"/>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扫描件，原件备查</w:t>
      </w:r>
      <w:r>
        <w:rPr>
          <w:rFonts w:asciiTheme="minorEastAsia" w:hAnsiTheme="minorEastAsia" w:eastAsiaTheme="minorEastAsia"/>
          <w:szCs w:val="24"/>
        </w:rPr>
        <w:t xml:space="preserve">； </w:t>
      </w:r>
    </w:p>
    <w:p>
      <w:pPr>
        <w:spacing w:line="360" w:lineRule="exact"/>
        <w:ind w:firstLine="424" w:firstLineChars="202"/>
        <w:rPr>
          <w:rFonts w:asciiTheme="minorEastAsia" w:hAnsiTheme="minorEastAsia" w:eastAsiaTheme="minorEastAsia"/>
          <w:szCs w:val="24"/>
        </w:rPr>
      </w:pPr>
      <w:r>
        <w:rPr>
          <w:rFonts w:asciiTheme="minorEastAsia" w:hAnsiTheme="minorEastAsia" w:eastAsiaTheme="minorEastAsia"/>
          <w:szCs w:val="24"/>
        </w:rPr>
        <w:t>2</w:t>
      </w:r>
      <w:r>
        <w:rPr>
          <w:rFonts w:hint="eastAsia" w:asciiTheme="minorEastAsia" w:hAnsiTheme="minorEastAsia" w:eastAsiaTheme="minorEastAsia"/>
          <w:szCs w:val="24"/>
        </w:rPr>
        <w:t>、</w:t>
      </w:r>
      <w:r>
        <w:rPr>
          <w:rFonts w:asciiTheme="minorEastAsia" w:hAnsiTheme="minorEastAsia" w:eastAsiaTheme="minorEastAsia"/>
          <w:szCs w:val="24"/>
        </w:rPr>
        <w:t>落实政府采购政策需满足的资格要求：</w:t>
      </w:r>
      <w:r>
        <w:rPr>
          <w:rFonts w:hint="eastAsia" w:asciiTheme="minorEastAsia" w:hAnsiTheme="minorEastAsia" w:eastAsiaTheme="minorEastAsia"/>
          <w:szCs w:val="24"/>
        </w:rPr>
        <w:t>无</w:t>
      </w:r>
      <w:r>
        <w:rPr>
          <w:rFonts w:asciiTheme="minorEastAsia" w:hAnsiTheme="minorEastAsia" w:eastAsiaTheme="minorEastAsia"/>
          <w:szCs w:val="24"/>
        </w:rPr>
        <w:t xml:space="preserve">； </w:t>
      </w:r>
    </w:p>
    <w:p>
      <w:pPr>
        <w:spacing w:line="360" w:lineRule="exact"/>
        <w:ind w:firstLine="424" w:firstLineChars="202"/>
        <w:rPr>
          <w:rFonts w:asciiTheme="minorEastAsia" w:hAnsiTheme="minorEastAsia" w:eastAsiaTheme="minorEastAsia"/>
          <w:szCs w:val="24"/>
        </w:rPr>
      </w:pPr>
      <w:r>
        <w:rPr>
          <w:rFonts w:asciiTheme="minorEastAsia" w:hAnsiTheme="minorEastAsia" w:eastAsiaTheme="minorEastAsia"/>
          <w:szCs w:val="24"/>
        </w:rPr>
        <w:t>3</w:t>
      </w:r>
      <w:r>
        <w:rPr>
          <w:rFonts w:hint="eastAsia" w:asciiTheme="minorEastAsia" w:hAnsiTheme="minorEastAsia" w:eastAsiaTheme="minorEastAsia"/>
          <w:szCs w:val="24"/>
        </w:rPr>
        <w:t>、</w:t>
      </w:r>
      <w:r>
        <w:rPr>
          <w:rFonts w:asciiTheme="minorEastAsia" w:hAnsiTheme="minorEastAsia" w:eastAsiaTheme="minorEastAsia"/>
          <w:szCs w:val="24"/>
        </w:rPr>
        <w:t>本项目的特定资格要求：</w:t>
      </w:r>
    </w:p>
    <w:p>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（1）</w:t>
      </w:r>
      <w:r>
        <w:rPr>
          <w:rFonts w:hint="eastAsia" w:asciiTheme="minorEastAsia" w:hAnsiTheme="minorEastAsia" w:eastAsiaTheme="minorEastAsia"/>
          <w:snapToGrid w:val="0"/>
          <w:szCs w:val="24"/>
        </w:rPr>
        <w:t>参与本项目投标前三年内，在经营活动中没有重大违法记录</w:t>
      </w:r>
      <w:r>
        <w:rPr>
          <w:rFonts w:hint="eastAsia" w:asciiTheme="minorEastAsia" w:hAnsiTheme="minorEastAsia" w:eastAsiaTheme="minorEastAsia"/>
          <w:szCs w:val="24"/>
        </w:rPr>
        <w:t>（由供应商在《政府采购投标及履约承诺函》中作出声明）；</w:t>
      </w:r>
    </w:p>
    <w:p>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（2）</w:t>
      </w:r>
      <w:r>
        <w:rPr>
          <w:rFonts w:hint="eastAsia" w:asciiTheme="minorEastAsia" w:hAnsiTheme="minorEastAsia" w:eastAsiaTheme="minorEastAsia"/>
          <w:snapToGrid w:val="0"/>
          <w:szCs w:val="24"/>
        </w:rPr>
        <w:t>参与本项目政府采购活动时不存在被有关部门禁止参与政府采购活动且在有效期内的情况</w:t>
      </w:r>
      <w:r>
        <w:rPr>
          <w:rFonts w:hint="eastAsia" w:asciiTheme="minorEastAsia" w:hAnsiTheme="minorEastAsia" w:eastAsiaTheme="minorEastAsia"/>
          <w:szCs w:val="24"/>
        </w:rPr>
        <w:t>（由供应商在《政府采购投标及履约承诺函》中作出声明）；</w:t>
      </w:r>
    </w:p>
    <w:p>
      <w:pPr>
        <w:spacing w:line="360" w:lineRule="exact"/>
        <w:ind w:firstLine="424" w:firstLineChars="202"/>
        <w:jc w:val="left"/>
        <w:rPr>
          <w:rFonts w:asciiTheme="minorEastAsia" w:hAnsiTheme="minorEastAsia" w:eastAsiaTheme="minorEastAsia"/>
          <w:szCs w:val="24"/>
        </w:rPr>
      </w:pPr>
      <w:r>
        <w:rPr>
          <w:rFonts w:hint="eastAsia" w:asciiTheme="minorEastAsia" w:hAnsiTheme="minorEastAsia" w:eastAsiaTheme="minorEastAsia"/>
          <w:szCs w:val="24"/>
        </w:rPr>
        <w:t>（3）</w:t>
      </w:r>
      <w:r>
        <w:rPr>
          <w:rFonts w:hint="eastAsia" w:asciiTheme="minorEastAsia" w:hAnsiTheme="minorEastAsia" w:eastAsiaTheme="minorEastAsia"/>
          <w:snapToGrid w:val="0"/>
          <w:szCs w:val="24"/>
        </w:rPr>
        <w:t>单位负责人为同一人或者存在直接控股、管理关系的不同供应商，不得参加同一合同项下</w:t>
      </w:r>
      <w:r>
        <w:rPr>
          <w:rFonts w:hint="eastAsia" w:asciiTheme="minorEastAsia" w:hAnsiTheme="minorEastAsia" w:eastAsiaTheme="minorEastAsia"/>
          <w:szCs w:val="24"/>
        </w:rPr>
        <w:t>的政府采购活动（由供应商在《政府采购投标及履约承诺函》中作出声明）；</w:t>
      </w:r>
    </w:p>
    <w:p>
      <w:pPr>
        <w:spacing w:line="360" w:lineRule="exact"/>
        <w:ind w:firstLine="424" w:firstLineChars="202"/>
        <w:jc w:val="left"/>
        <w:rPr>
          <w:rFonts w:asciiTheme="minorEastAsia" w:hAnsiTheme="minorEastAsia" w:eastAsiaTheme="minorEastAsia"/>
          <w:szCs w:val="24"/>
        </w:rPr>
      </w:pPr>
      <w:r>
        <w:rPr>
          <w:rFonts w:hint="eastAsia" w:asciiTheme="minorEastAsia" w:hAnsiTheme="minorEastAsia" w:eastAsiaTheme="minorEastAsia"/>
          <w:szCs w:val="24"/>
        </w:rPr>
        <w:t>（4）</w:t>
      </w:r>
      <w:r>
        <w:rPr>
          <w:rFonts w:hint="eastAsia" w:asciiTheme="minorEastAsia" w:hAnsiTheme="minorEastAsia" w:eastAsiaTheme="minorEastAsia"/>
          <w:snapToGrid w:val="0"/>
          <w:szCs w:val="24"/>
        </w:rPr>
        <w:t>除单一来源采购项目外，为采购项目提供整体设计、规范编制或者项目管理、监理、检测等</w:t>
      </w:r>
      <w:r>
        <w:rPr>
          <w:rFonts w:hint="eastAsia" w:asciiTheme="minorEastAsia" w:hAnsiTheme="minorEastAsia" w:eastAsiaTheme="minorEastAsia"/>
          <w:szCs w:val="24"/>
        </w:rPr>
        <w:t>服务的供应商，不得再参加该采购项目的其他采购活动（由供应商在《政府采购投标及履约承诺函》中作出声明）；</w:t>
      </w:r>
    </w:p>
    <w:p>
      <w:pPr>
        <w:spacing w:line="360" w:lineRule="exact"/>
        <w:ind w:firstLine="424" w:firstLineChars="202"/>
        <w:jc w:val="left"/>
        <w:rPr>
          <w:rFonts w:asciiTheme="minorEastAsia" w:hAnsiTheme="minorEastAsia" w:eastAsiaTheme="minorEastAsia"/>
          <w:szCs w:val="24"/>
        </w:rPr>
      </w:pPr>
      <w:r>
        <w:rPr>
          <w:rFonts w:hint="eastAsia" w:asciiTheme="minorEastAsia" w:hAnsiTheme="minorEastAsia" w:eastAsiaTheme="minorEastAsia"/>
          <w:szCs w:val="24"/>
        </w:rPr>
        <w:t>（5）参与本项目政府采购活动不存在与其他采购参加人串通投标，隐瞒真实情况，提供虚假资料等违法违规情形（由供应商在《政府采购投标及履约承诺函》中作出声明）；</w:t>
      </w:r>
    </w:p>
    <w:p>
      <w:pPr>
        <w:spacing w:line="360" w:lineRule="exact"/>
        <w:ind w:firstLine="424" w:firstLineChars="202"/>
        <w:jc w:val="left"/>
        <w:rPr>
          <w:rFonts w:asciiTheme="minorEastAsia" w:hAnsiTheme="minorEastAsia" w:eastAsiaTheme="minorEastAsia"/>
          <w:szCs w:val="24"/>
        </w:rPr>
      </w:pPr>
      <w:r>
        <w:rPr>
          <w:rFonts w:hint="eastAsia" w:asciiTheme="minorEastAsia" w:hAnsiTheme="minorEastAsia" w:eastAsiaTheme="minorEastAsia"/>
          <w:szCs w:val="24"/>
        </w:rPr>
        <w:t>（6）未被列入失信被执行人、重大税收违法案件当事人名单及政府采购严重违法失信行为记录名单（</w:t>
      </w:r>
      <w:r>
        <w:rPr>
          <w:rFonts w:hint="eastAsia" w:asciiTheme="minorEastAsia" w:hAnsiTheme="minorEastAsia" w:eastAsiaTheme="minorEastAsia"/>
          <w:snapToGrid w:val="0"/>
        </w:rPr>
        <w:t>信用中国网“信用服务”栏的“重大税收违法失信主体”、“失信被执行人”，中国政府采购网“政府采购严重违法失信行为记录名单”，深圳信用网以及深圳市政府采购监管网</w:t>
      </w:r>
      <w:r>
        <w:rPr>
          <w:rFonts w:hint="eastAsia" w:asciiTheme="minorEastAsia" w:hAnsiTheme="minorEastAsia" w:eastAsiaTheme="minorEastAsia"/>
          <w:szCs w:val="24"/>
        </w:rPr>
        <w:t>为供应商信用信息查询渠道，相关信息以开标当日的查询结果为准。由采购代理机构查询，供应商无需提供证明材料）；</w:t>
      </w:r>
    </w:p>
    <w:p>
      <w:pPr>
        <w:widowControl/>
        <w:adjustRightInd w:val="0"/>
        <w:snapToGrid w:val="0"/>
        <w:spacing w:line="360" w:lineRule="exact"/>
        <w:ind w:firstLine="424" w:firstLineChars="202"/>
        <w:jc w:val="left"/>
        <w:rPr>
          <w:rFonts w:cs="Arial Unicode MS" w:asciiTheme="minorEastAsia" w:hAnsiTheme="minorEastAsia" w:eastAsiaTheme="minorEastAsia"/>
          <w:snapToGrid w:val="0"/>
          <w:kern w:val="0"/>
          <w:szCs w:val="18"/>
        </w:rPr>
      </w:pPr>
      <w:r>
        <w:rPr>
          <w:rFonts w:hint="eastAsia" w:cs="Arial Unicode MS" w:asciiTheme="minorEastAsia" w:hAnsiTheme="minorEastAsia" w:eastAsiaTheme="minorEastAsia"/>
          <w:snapToGrid w:val="0"/>
          <w:kern w:val="0"/>
          <w:szCs w:val="18"/>
        </w:rPr>
        <w:t>（7）本项目</w:t>
      </w:r>
      <w:r>
        <w:rPr>
          <w:rFonts w:hint="eastAsia" w:cs="Arial Unicode MS" w:asciiTheme="minorEastAsia" w:hAnsiTheme="minorEastAsia" w:eastAsiaTheme="minorEastAsia"/>
          <w:snapToGrid w:val="0"/>
          <w:kern w:val="0"/>
          <w:szCs w:val="18"/>
          <w:lang w:val="en-US" w:eastAsia="zh-CN"/>
        </w:rPr>
        <w:t>不</w:t>
      </w:r>
      <w:r>
        <w:rPr>
          <w:rFonts w:hint="eastAsia" w:cs="Arial Unicode MS" w:asciiTheme="minorEastAsia" w:hAnsiTheme="minorEastAsia" w:eastAsiaTheme="minorEastAsia"/>
          <w:snapToGrid w:val="0"/>
          <w:kern w:val="0"/>
          <w:szCs w:val="18"/>
        </w:rPr>
        <w:t>允许联合体投标，不允许非法分包或转包。</w:t>
      </w:r>
    </w:p>
    <w:p>
      <w:pPr>
        <w:widowControl/>
        <w:adjustRightInd w:val="0"/>
        <w:snapToGrid w:val="0"/>
        <w:spacing w:line="360" w:lineRule="exact"/>
        <w:ind w:firstLine="424" w:firstLineChars="202"/>
        <w:jc w:val="left"/>
        <w:rPr>
          <w:rFonts w:cs="Arial Unicode MS" w:asciiTheme="minorEastAsia" w:hAnsiTheme="minorEastAsia" w:eastAsiaTheme="minorEastAsia"/>
          <w:snapToGrid w:val="0"/>
          <w:kern w:val="0"/>
          <w:szCs w:val="18"/>
        </w:rPr>
      </w:pPr>
      <w:r>
        <w:rPr>
          <w:rFonts w:hint="eastAsia" w:cs="Arial Unicode MS" w:asciiTheme="minorEastAsia" w:hAnsiTheme="minorEastAsia" w:eastAsiaTheme="minorEastAsia"/>
          <w:snapToGrid w:val="0"/>
          <w:kern w:val="0"/>
          <w:szCs w:val="18"/>
        </w:rPr>
        <w:t>注：供应商投标（上传投标文件）必须先行办理注册手续，具体请按照本公告“三、获取招标文件”相关内容指引办理。</w:t>
      </w:r>
    </w:p>
    <w:p>
      <w:pPr>
        <w:widowControl/>
        <w:spacing w:line="360" w:lineRule="exact"/>
        <w:rPr>
          <w:rFonts w:ascii="宋体" w:hAnsi="宋体"/>
          <w:szCs w:val="24"/>
        </w:rPr>
      </w:pPr>
    </w:p>
    <w:p>
      <w:pPr>
        <w:widowControl/>
        <w:spacing w:line="360" w:lineRule="exact"/>
        <w:rPr>
          <w:rFonts w:ascii="宋体" w:hAnsi="宋体"/>
          <w:szCs w:val="24"/>
        </w:rPr>
      </w:pPr>
      <w:r>
        <w:rPr>
          <w:rFonts w:ascii="宋体" w:hAnsi="宋体"/>
          <w:szCs w:val="24"/>
        </w:rPr>
        <w:t>三、获取招标文件</w:t>
      </w:r>
    </w:p>
    <w:p>
      <w:pPr>
        <w:widowControl/>
        <w:spacing w:line="360" w:lineRule="exact"/>
        <w:ind w:firstLine="420" w:firstLineChars="200"/>
        <w:rPr>
          <w:rFonts w:ascii="宋体" w:hAnsi="宋体"/>
          <w:szCs w:val="24"/>
        </w:rPr>
      </w:pPr>
      <w:r>
        <w:rPr>
          <w:rFonts w:hint="eastAsia" w:ascii="宋体" w:hAnsi="宋体"/>
          <w:szCs w:val="24"/>
        </w:rPr>
        <w:t>1、</w:t>
      </w:r>
      <w:r>
        <w:rPr>
          <w:rFonts w:ascii="宋体" w:hAnsi="宋体"/>
          <w:szCs w:val="24"/>
        </w:rPr>
        <w:t>时间：</w:t>
      </w:r>
      <w:r>
        <w:rPr>
          <w:rFonts w:hint="eastAsia" w:ascii="宋体" w:hAnsi="宋体"/>
          <w:b/>
          <w:szCs w:val="24"/>
          <w:u w:val="single"/>
        </w:rPr>
        <w:t>2023年</w:t>
      </w:r>
      <w:r>
        <w:rPr>
          <w:rFonts w:hint="eastAsia" w:ascii="宋体" w:hAnsi="宋体"/>
          <w:b/>
          <w:szCs w:val="24"/>
          <w:u w:val="single"/>
          <w:lang w:val="en-US" w:eastAsia="zh-CN"/>
        </w:rPr>
        <w:t>05</w:t>
      </w:r>
      <w:r>
        <w:rPr>
          <w:rFonts w:hint="eastAsia" w:ascii="宋体" w:hAnsi="宋体"/>
          <w:b/>
          <w:szCs w:val="24"/>
          <w:u w:val="single"/>
        </w:rPr>
        <w:t>月</w:t>
      </w:r>
      <w:r>
        <w:rPr>
          <w:rFonts w:hint="eastAsia" w:ascii="宋体" w:hAnsi="宋体"/>
          <w:b/>
          <w:szCs w:val="24"/>
          <w:u w:val="single"/>
          <w:lang w:val="en-US" w:eastAsia="zh-CN"/>
        </w:rPr>
        <w:t>25</w:t>
      </w:r>
      <w:r>
        <w:rPr>
          <w:rFonts w:hint="eastAsia" w:ascii="宋体" w:hAnsi="宋体"/>
          <w:b/>
          <w:szCs w:val="24"/>
          <w:u w:val="single"/>
        </w:rPr>
        <w:t>日至2023年</w:t>
      </w:r>
      <w:r>
        <w:rPr>
          <w:rFonts w:hint="eastAsia" w:ascii="宋体" w:hAnsi="宋体"/>
          <w:b/>
          <w:szCs w:val="24"/>
          <w:u w:val="single"/>
          <w:lang w:val="en-US" w:eastAsia="zh-CN"/>
        </w:rPr>
        <w:t>06</w:t>
      </w:r>
      <w:r>
        <w:rPr>
          <w:rFonts w:hint="eastAsia" w:ascii="宋体" w:hAnsi="宋体"/>
          <w:b/>
          <w:szCs w:val="24"/>
          <w:u w:val="single"/>
        </w:rPr>
        <w:t>月</w:t>
      </w:r>
      <w:r>
        <w:rPr>
          <w:rFonts w:hint="eastAsia" w:ascii="宋体" w:hAnsi="宋体"/>
          <w:b/>
          <w:szCs w:val="24"/>
          <w:u w:val="single"/>
          <w:lang w:val="en-US" w:eastAsia="zh-CN"/>
        </w:rPr>
        <w:t>05</w:t>
      </w:r>
      <w:r>
        <w:rPr>
          <w:rFonts w:hint="eastAsia" w:ascii="宋体" w:hAnsi="宋体"/>
          <w:b/>
          <w:szCs w:val="24"/>
          <w:u w:val="single"/>
        </w:rPr>
        <w:t>日</w:t>
      </w:r>
      <w:r>
        <w:rPr>
          <w:rFonts w:hint="eastAsia" w:ascii="宋体" w:hAnsi="宋体"/>
          <w:b/>
          <w:szCs w:val="24"/>
          <w:u w:val="single"/>
          <w:lang w:val="en-US" w:eastAsia="zh-CN"/>
        </w:rPr>
        <w:t>09</w:t>
      </w:r>
      <w:r>
        <w:rPr>
          <w:rFonts w:ascii="宋体" w:hAnsi="宋体"/>
          <w:b/>
          <w:szCs w:val="24"/>
          <w:u w:val="single"/>
        </w:rPr>
        <w:t>:00</w:t>
      </w:r>
      <w:r>
        <w:rPr>
          <w:rFonts w:hint="eastAsia" w:ascii="宋体" w:hAnsi="宋体"/>
          <w:b/>
          <w:szCs w:val="24"/>
          <w:u w:val="single"/>
        </w:rPr>
        <w:t>，每天上午0:00至12:00，下午12:00至24:00（北京时间，法定节假日除外）</w:t>
      </w:r>
      <w:r>
        <w:rPr>
          <w:rFonts w:hint="eastAsia" w:ascii="宋体" w:hAnsi="宋体"/>
          <w:szCs w:val="24"/>
        </w:rPr>
        <w:t>。</w:t>
      </w:r>
      <w:r>
        <w:rPr>
          <w:rFonts w:ascii="宋体" w:hAnsi="宋体"/>
          <w:szCs w:val="24"/>
        </w:rPr>
        <w:t xml:space="preserve"> </w:t>
      </w:r>
    </w:p>
    <w:p>
      <w:pPr>
        <w:spacing w:line="360" w:lineRule="exact"/>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地点：</w:t>
      </w:r>
      <w:r>
        <w:rPr>
          <w:rFonts w:hint="eastAsia" w:asciiTheme="minorEastAsia" w:hAnsiTheme="minorEastAsia" w:eastAsiaTheme="minorEastAsia"/>
          <w:szCs w:val="24"/>
        </w:rPr>
        <w:t>登录深圳政府采购智慧平台（http://zfcg.szggzy.com:8081/）下载本项目的招标文件</w:t>
      </w:r>
      <w:r>
        <w:rPr>
          <w:rFonts w:asciiTheme="minorEastAsia" w:hAnsiTheme="minorEastAsia" w:eastAsiaTheme="minorEastAsia"/>
          <w:szCs w:val="24"/>
        </w:rPr>
        <w:t xml:space="preserve">。 </w:t>
      </w:r>
    </w:p>
    <w:p>
      <w:pPr>
        <w:spacing w:line="360" w:lineRule="exact"/>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3、</w:t>
      </w:r>
      <w:r>
        <w:rPr>
          <w:rFonts w:asciiTheme="minorEastAsia" w:hAnsiTheme="minorEastAsia" w:eastAsiaTheme="minorEastAsia"/>
          <w:szCs w:val="24"/>
        </w:rPr>
        <w:t xml:space="preserve">方式：在线下载。 </w:t>
      </w:r>
    </w:p>
    <w:p>
      <w:pPr>
        <w:spacing w:line="360" w:lineRule="exact"/>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4、</w:t>
      </w:r>
      <w:r>
        <w:rPr>
          <w:rFonts w:asciiTheme="minorEastAsia" w:hAnsiTheme="minorEastAsia" w:eastAsiaTheme="minorEastAsia"/>
          <w:szCs w:val="24"/>
        </w:rPr>
        <w:t>售价：免费。</w:t>
      </w:r>
    </w:p>
    <w:p>
      <w:pPr>
        <w:spacing w:line="360" w:lineRule="exact"/>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凡已注册的深圳市网上政府采购供应商，按照授予的操作权限，可于</w:t>
      </w:r>
      <w:r>
        <w:rPr>
          <w:rFonts w:hint="eastAsia" w:ascii="宋体" w:hAnsi="宋体"/>
          <w:b/>
          <w:szCs w:val="24"/>
          <w:u w:val="single"/>
        </w:rPr>
        <w:t>获取招标文件时间内</w:t>
      </w:r>
      <w:r>
        <w:rPr>
          <w:rFonts w:hint="eastAsia" w:asciiTheme="minorEastAsia" w:hAnsiTheme="minorEastAsia" w:eastAsiaTheme="minorEastAsia"/>
          <w:szCs w:val="24"/>
        </w:rPr>
        <w:t>登录深圳政府采购智慧平台（http://zfcg.szggzy.com:8081/）下载本项目的采购文件。投标人如确定参加投标，首先要在深圳政府采购智慧平台网上办事子系统（http://zfcg.szggzy.com:8081/TPBidder/memberLogin）网上报名投标，方法为登陆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w:t>
      </w:r>
      <w:r>
        <w:fldChar w:fldCharType="begin"/>
      </w:r>
      <w:r>
        <w:instrText xml:space="preserve"> HYPERLINK "http://zfcg.szggzy.com:8081/TPBidder/CAHandle" </w:instrText>
      </w:r>
      <w:r>
        <w:fldChar w:fldCharType="separate"/>
      </w:r>
      <w:r>
        <w:rPr>
          <w:rFonts w:asciiTheme="minorEastAsia" w:hAnsiTheme="minorEastAsia" w:eastAsiaTheme="minorEastAsia"/>
          <w:color w:val="0000FF"/>
          <w:u w:val="single"/>
        </w:rPr>
        <w:t>请点击</w:t>
      </w:r>
      <w:r>
        <w:rPr>
          <w:rFonts w:asciiTheme="minorEastAsia" w:hAnsiTheme="minorEastAsia" w:eastAsiaTheme="minorEastAsia"/>
          <w:color w:val="0000FF"/>
          <w:u w:val="single"/>
        </w:rPr>
        <w:fldChar w:fldCharType="end"/>
      </w:r>
      <w:r>
        <w:rPr>
          <w:rFonts w:hint="eastAsia" w:asciiTheme="minorEastAsia" w:hAnsiTheme="minorEastAsia" w:eastAsiaTheme="minorEastAsia"/>
          <w:szCs w:val="24"/>
        </w:rPr>
        <w:t>），并前往深圳公共资源交易中心绑定深圳政府采购智慧平台用户（地址：深圳市福田区景田东路70号雅枫国际酒店北侧二楼市政府采购业务窗口服务大厅；电子密钥办理咨询电话：0755-83948165），再进行投标报名。在网上报名后，点击“【我的项目】→【项目流程】→【采购文件下载】”进行招标文件的下载。</w:t>
      </w:r>
    </w:p>
    <w:p>
      <w:pPr>
        <w:widowControl/>
        <w:spacing w:line="360" w:lineRule="exact"/>
        <w:ind w:firstLine="420" w:firstLineChars="200"/>
        <w:rPr>
          <w:rFonts w:ascii="宋体" w:hAnsi="宋体"/>
          <w:szCs w:val="24"/>
        </w:rPr>
      </w:pPr>
    </w:p>
    <w:p>
      <w:pPr>
        <w:widowControl/>
        <w:spacing w:line="360" w:lineRule="exact"/>
        <w:rPr>
          <w:rFonts w:ascii="宋体" w:hAnsi="宋体"/>
          <w:szCs w:val="24"/>
        </w:rPr>
      </w:pPr>
      <w:r>
        <w:rPr>
          <w:rFonts w:ascii="宋体" w:hAnsi="宋体"/>
          <w:szCs w:val="24"/>
        </w:rPr>
        <w:t>四、提交投标文件截止时间、开标时间和地点</w:t>
      </w:r>
    </w:p>
    <w:p>
      <w:pPr>
        <w:widowControl/>
        <w:spacing w:line="360" w:lineRule="exact"/>
        <w:ind w:firstLine="424" w:firstLineChars="202"/>
        <w:rPr>
          <w:rFonts w:ascii="宋体" w:hAnsi="宋体"/>
          <w:szCs w:val="24"/>
        </w:rPr>
      </w:pPr>
      <w:r>
        <w:rPr>
          <w:rFonts w:hint="eastAsia" w:ascii="宋体" w:hAnsi="宋体"/>
          <w:szCs w:val="24"/>
        </w:rPr>
        <w:t>1、投标截止时间：所有投标文件应于</w:t>
      </w:r>
      <w:r>
        <w:rPr>
          <w:rFonts w:hint="eastAsia" w:ascii="宋体" w:hAnsi="宋体"/>
          <w:b/>
          <w:szCs w:val="24"/>
          <w:u w:val="single"/>
        </w:rPr>
        <w:t>2023年</w:t>
      </w:r>
      <w:r>
        <w:rPr>
          <w:rFonts w:hint="eastAsia" w:ascii="宋体" w:hAnsi="宋体"/>
          <w:b/>
          <w:szCs w:val="24"/>
          <w:u w:val="single"/>
          <w:lang w:val="en-US" w:eastAsia="zh-CN"/>
        </w:rPr>
        <w:t>06</w:t>
      </w:r>
      <w:r>
        <w:rPr>
          <w:rFonts w:hint="eastAsia" w:ascii="宋体" w:hAnsi="宋体"/>
          <w:b/>
          <w:szCs w:val="24"/>
          <w:u w:val="single"/>
        </w:rPr>
        <w:t>月</w:t>
      </w:r>
      <w:r>
        <w:rPr>
          <w:rFonts w:hint="eastAsia" w:ascii="宋体" w:hAnsi="宋体"/>
          <w:b/>
          <w:szCs w:val="24"/>
          <w:u w:val="single"/>
          <w:lang w:val="en-US" w:eastAsia="zh-CN"/>
        </w:rPr>
        <w:t>05</w:t>
      </w:r>
      <w:r>
        <w:rPr>
          <w:rFonts w:hint="eastAsia" w:ascii="宋体" w:hAnsi="宋体"/>
          <w:b/>
          <w:szCs w:val="24"/>
          <w:u w:val="single"/>
        </w:rPr>
        <w:t>日</w:t>
      </w:r>
      <w:r>
        <w:rPr>
          <w:rFonts w:hint="eastAsia" w:ascii="宋体" w:hAnsi="宋体"/>
          <w:b/>
          <w:szCs w:val="24"/>
          <w:u w:val="single"/>
          <w:lang w:val="en-US" w:eastAsia="zh-CN"/>
        </w:rPr>
        <w:t>09</w:t>
      </w:r>
      <w:r>
        <w:rPr>
          <w:rFonts w:hint="eastAsia" w:ascii="宋体" w:hAnsi="宋体"/>
          <w:b/>
          <w:szCs w:val="24"/>
          <w:u w:val="single"/>
        </w:rPr>
        <w:t>:00（北京时间）</w:t>
      </w:r>
      <w:r>
        <w:rPr>
          <w:rFonts w:hint="eastAsia" w:ascii="宋体" w:hAnsi="宋体"/>
          <w:szCs w:val="24"/>
        </w:rPr>
        <w:t>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200MB</w:t>
      </w:r>
      <w:r>
        <w:rPr>
          <w:rFonts w:hint="eastAsia" w:ascii="宋体" w:hAnsi="宋体" w:cs="宋体"/>
          <w:szCs w:val="21"/>
        </w:rPr>
        <w:t>，单个节点文件不能超过</w:t>
      </w:r>
      <w:r>
        <w:rPr>
          <w:rFonts w:ascii="宋体" w:hAnsi="宋体" w:cs="宋体"/>
          <w:szCs w:val="21"/>
        </w:rPr>
        <w:t>50M</w:t>
      </w:r>
      <w:r>
        <w:rPr>
          <w:rFonts w:hint="eastAsia" w:ascii="宋体" w:hAnsi="宋体" w:cs="宋体"/>
          <w:szCs w:val="21"/>
        </w:rPr>
        <w:t>B</w:t>
      </w:r>
      <w:r>
        <w:rPr>
          <w:rFonts w:hint="eastAsia" w:ascii="宋体" w:hAnsi="宋体"/>
          <w:szCs w:val="24"/>
        </w:rPr>
        <w:t>，超过此容量的文件将被拒绝。</w:t>
      </w:r>
    </w:p>
    <w:p>
      <w:pPr>
        <w:widowControl/>
        <w:spacing w:line="360" w:lineRule="exact"/>
        <w:ind w:firstLine="424" w:firstLineChars="202"/>
        <w:rPr>
          <w:rFonts w:ascii="宋体" w:hAnsi="宋体"/>
          <w:szCs w:val="24"/>
        </w:rPr>
      </w:pPr>
      <w:r>
        <w:rPr>
          <w:rFonts w:hint="eastAsia" w:ascii="宋体" w:hAnsi="宋体"/>
          <w:szCs w:val="24"/>
        </w:rPr>
        <w:t>2、开标时间和地点：定于</w:t>
      </w:r>
      <w:r>
        <w:rPr>
          <w:rFonts w:hint="eastAsia" w:ascii="宋体" w:hAnsi="宋体"/>
          <w:b/>
          <w:szCs w:val="24"/>
          <w:u w:val="single"/>
        </w:rPr>
        <w:t>2023年</w:t>
      </w:r>
      <w:r>
        <w:rPr>
          <w:rFonts w:hint="eastAsia" w:ascii="宋体" w:hAnsi="宋体"/>
          <w:b/>
          <w:szCs w:val="24"/>
          <w:u w:val="single"/>
          <w:lang w:val="en-US" w:eastAsia="zh-CN"/>
        </w:rPr>
        <w:t>06</w:t>
      </w:r>
      <w:r>
        <w:rPr>
          <w:rFonts w:hint="eastAsia" w:ascii="宋体" w:hAnsi="宋体"/>
          <w:b/>
          <w:szCs w:val="24"/>
          <w:u w:val="single"/>
        </w:rPr>
        <w:t>月</w:t>
      </w:r>
      <w:r>
        <w:rPr>
          <w:rFonts w:hint="eastAsia" w:ascii="宋体" w:hAnsi="宋体"/>
          <w:b/>
          <w:szCs w:val="24"/>
          <w:u w:val="single"/>
          <w:lang w:val="en-US" w:eastAsia="zh-CN"/>
        </w:rPr>
        <w:t>05</w:t>
      </w:r>
      <w:r>
        <w:rPr>
          <w:rFonts w:hint="eastAsia" w:ascii="宋体" w:hAnsi="宋体"/>
          <w:b/>
          <w:szCs w:val="24"/>
          <w:u w:val="single"/>
        </w:rPr>
        <w:t>日</w:t>
      </w:r>
      <w:r>
        <w:rPr>
          <w:rFonts w:hint="eastAsia" w:ascii="宋体" w:hAnsi="宋体"/>
          <w:b/>
          <w:szCs w:val="24"/>
          <w:u w:val="single"/>
          <w:lang w:val="en-US" w:eastAsia="zh-CN"/>
        </w:rPr>
        <w:t>09</w:t>
      </w:r>
      <w:r>
        <w:rPr>
          <w:rFonts w:hint="eastAsia" w:ascii="宋体" w:hAnsi="宋体"/>
          <w:b/>
          <w:szCs w:val="24"/>
          <w:u w:val="single"/>
        </w:rPr>
        <w:t>:00（北京时间）</w:t>
      </w:r>
      <w:r>
        <w:rPr>
          <w:rFonts w:hint="eastAsia" w:ascii="宋体" w:hAnsi="宋体"/>
          <w:szCs w:val="24"/>
        </w:rPr>
        <w:t>，在深圳市中正招标有限公司公开开标。供应商可以登录“深圳政府采购智慧平台用户网上办事子系统（http://zfcg.szggzy.com:8081/TPBidder/memberLogin）”，在“【我的项目】→【项目流程】→【开标及解密】”进行在线解密、查询开标情况。</w:t>
      </w:r>
    </w:p>
    <w:p>
      <w:pPr>
        <w:widowControl/>
        <w:spacing w:line="360" w:lineRule="exact"/>
        <w:ind w:firstLine="426" w:firstLineChars="202"/>
        <w:rPr>
          <w:rFonts w:ascii="宋体" w:hAnsi="宋体"/>
          <w:szCs w:val="24"/>
        </w:rPr>
      </w:pPr>
      <w:r>
        <w:rPr>
          <w:rFonts w:hint="eastAsia" w:ascii="宋体" w:hAnsi="宋体"/>
          <w:b/>
          <w:szCs w:val="24"/>
        </w:rPr>
        <w:t>3、在线解密：投标人须在</w:t>
      </w:r>
      <w:r>
        <w:rPr>
          <w:rFonts w:hint="eastAsia" w:ascii="宋体" w:hAnsi="宋体"/>
          <w:b/>
          <w:szCs w:val="24"/>
          <w:u w:val="single"/>
        </w:rPr>
        <w:t>2023年</w:t>
      </w:r>
      <w:r>
        <w:rPr>
          <w:rFonts w:hint="eastAsia" w:ascii="宋体" w:hAnsi="宋体"/>
          <w:b/>
          <w:szCs w:val="24"/>
          <w:u w:val="single"/>
          <w:lang w:val="en-US" w:eastAsia="zh-CN"/>
        </w:rPr>
        <w:t>06</w:t>
      </w:r>
      <w:r>
        <w:rPr>
          <w:rFonts w:hint="eastAsia" w:ascii="宋体" w:hAnsi="宋体"/>
          <w:b/>
          <w:szCs w:val="24"/>
          <w:u w:val="single"/>
        </w:rPr>
        <w:t>月</w:t>
      </w:r>
      <w:r>
        <w:rPr>
          <w:rFonts w:hint="eastAsia" w:ascii="宋体" w:hAnsi="宋体"/>
          <w:b/>
          <w:szCs w:val="24"/>
          <w:u w:val="single"/>
          <w:lang w:val="en-US" w:eastAsia="zh-CN"/>
        </w:rPr>
        <w:t>05</w:t>
      </w:r>
      <w:r>
        <w:rPr>
          <w:rFonts w:hint="eastAsia" w:ascii="宋体" w:hAnsi="宋体"/>
          <w:b/>
          <w:szCs w:val="24"/>
          <w:u w:val="single"/>
        </w:rPr>
        <w:t>日</w:t>
      </w:r>
      <w:r>
        <w:rPr>
          <w:rFonts w:hint="eastAsia" w:ascii="宋体" w:hAnsi="宋体"/>
          <w:b/>
          <w:szCs w:val="24"/>
          <w:u w:val="single"/>
          <w:lang w:val="en-US" w:eastAsia="zh-CN"/>
        </w:rPr>
        <w:t>09</w:t>
      </w:r>
      <w:r>
        <w:rPr>
          <w:rFonts w:hint="eastAsia" w:ascii="宋体" w:hAnsi="宋体"/>
          <w:b/>
          <w:szCs w:val="24"/>
          <w:u w:val="single"/>
        </w:rPr>
        <w:t>:00-1</w:t>
      </w:r>
      <w:r>
        <w:rPr>
          <w:rFonts w:hint="eastAsia" w:ascii="宋体" w:hAnsi="宋体"/>
          <w:b/>
          <w:szCs w:val="24"/>
          <w:u w:val="single"/>
          <w:lang w:val="en-US" w:eastAsia="zh-CN"/>
        </w:rPr>
        <w:t>0</w:t>
      </w:r>
      <w:r>
        <w:rPr>
          <w:rFonts w:hint="eastAsia" w:ascii="宋体" w:hAnsi="宋体"/>
          <w:b/>
          <w:szCs w:val="24"/>
          <w:u w:val="single"/>
        </w:rPr>
        <w:t>:00（北京时间）</w:t>
      </w:r>
      <w:r>
        <w:rPr>
          <w:rFonts w:hint="eastAsia" w:ascii="宋体" w:hAnsi="宋体"/>
          <w:b/>
          <w:szCs w:val="24"/>
        </w:rPr>
        <w:t>期间进行解密，逾期未解密的作无效处理。</w:t>
      </w:r>
      <w:r>
        <w:rPr>
          <w:rFonts w:hint="eastAsia" w:ascii="宋体" w:hAnsi="宋体"/>
          <w:szCs w:val="24"/>
        </w:rPr>
        <w:t>解密方法：登录“深圳政府采购智慧平台用户网上办事子系统（http://zfcg.szggzy.com:8081/TPBidder/memberLogin）”，使用本单位制作电子投标文件同一个电子密钥，在“【我的项目】→【项目流程】→【开标及解密】”进行在线解密、查询开标情况。</w:t>
      </w:r>
    </w:p>
    <w:p>
      <w:pPr>
        <w:widowControl/>
        <w:spacing w:line="360" w:lineRule="exact"/>
        <w:ind w:left="420" w:leftChars="200"/>
        <w:rPr>
          <w:rFonts w:ascii="宋体" w:hAnsi="宋体"/>
          <w:szCs w:val="24"/>
        </w:rPr>
      </w:pPr>
    </w:p>
    <w:p>
      <w:pPr>
        <w:widowControl/>
        <w:spacing w:line="360" w:lineRule="exact"/>
        <w:rPr>
          <w:rFonts w:ascii="宋体" w:hAnsi="宋体"/>
          <w:szCs w:val="24"/>
        </w:rPr>
      </w:pPr>
      <w:r>
        <w:rPr>
          <w:rFonts w:ascii="宋体" w:hAnsi="宋体"/>
          <w:szCs w:val="24"/>
        </w:rPr>
        <w:t>五、公告期限</w:t>
      </w:r>
    </w:p>
    <w:p>
      <w:pPr>
        <w:widowControl/>
        <w:spacing w:line="360" w:lineRule="exact"/>
        <w:ind w:firstLine="420" w:firstLineChars="200"/>
        <w:rPr>
          <w:rFonts w:ascii="宋体" w:hAnsi="宋体"/>
          <w:szCs w:val="24"/>
        </w:rPr>
      </w:pPr>
      <w:r>
        <w:rPr>
          <w:rFonts w:ascii="宋体" w:hAnsi="宋体"/>
          <w:szCs w:val="24"/>
        </w:rPr>
        <w:t>自本公告发布之日起5个工作日。</w:t>
      </w:r>
    </w:p>
    <w:p>
      <w:pPr>
        <w:widowControl/>
        <w:spacing w:line="360" w:lineRule="exact"/>
        <w:ind w:firstLine="420" w:firstLineChars="200"/>
        <w:rPr>
          <w:rFonts w:ascii="宋体" w:hAnsi="宋体"/>
          <w:szCs w:val="24"/>
        </w:rPr>
      </w:pPr>
    </w:p>
    <w:p>
      <w:pPr>
        <w:widowControl/>
        <w:spacing w:line="360" w:lineRule="exact"/>
        <w:rPr>
          <w:rFonts w:ascii="宋体" w:hAnsi="宋体"/>
          <w:szCs w:val="24"/>
        </w:rPr>
      </w:pPr>
      <w:r>
        <w:rPr>
          <w:rFonts w:ascii="宋体" w:hAnsi="宋体"/>
          <w:szCs w:val="24"/>
        </w:rPr>
        <w:t>六、其他补充事宜</w:t>
      </w:r>
    </w:p>
    <w:p>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1、本项目实行网上投标，采用电子投标文件。</w:t>
      </w:r>
    </w:p>
    <w:p>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2、采购文件澄清/修改事项：</w:t>
      </w:r>
      <w:r>
        <w:rPr>
          <w:rFonts w:hint="eastAsia" w:asciiTheme="minorEastAsia" w:hAnsiTheme="minorEastAsia" w:eastAsiaTheme="minorEastAsia"/>
          <w:b/>
          <w:szCs w:val="24"/>
          <w:u w:val="single"/>
        </w:rPr>
        <w:t>2023年</w:t>
      </w:r>
      <w:r>
        <w:rPr>
          <w:rFonts w:hint="eastAsia" w:asciiTheme="minorEastAsia" w:hAnsiTheme="minorEastAsia" w:eastAsiaTheme="minorEastAsia"/>
          <w:b/>
          <w:szCs w:val="24"/>
          <w:u w:val="single"/>
          <w:lang w:val="en-US" w:eastAsia="zh-CN"/>
        </w:rPr>
        <w:t>05</w:t>
      </w:r>
      <w:r>
        <w:rPr>
          <w:rFonts w:hint="eastAsia" w:asciiTheme="minorEastAsia" w:hAnsiTheme="minorEastAsia" w:eastAsiaTheme="minorEastAsia"/>
          <w:b/>
          <w:szCs w:val="24"/>
          <w:u w:val="single"/>
        </w:rPr>
        <w:t>月</w:t>
      </w:r>
      <w:r>
        <w:rPr>
          <w:rFonts w:hint="eastAsia" w:asciiTheme="minorEastAsia" w:hAnsiTheme="minorEastAsia" w:eastAsiaTheme="minorEastAsia"/>
          <w:b/>
          <w:szCs w:val="24"/>
          <w:u w:val="single"/>
          <w:lang w:val="en-US" w:eastAsia="zh-CN"/>
        </w:rPr>
        <w:t>31</w:t>
      </w:r>
      <w:r>
        <w:rPr>
          <w:rFonts w:hint="eastAsia" w:asciiTheme="minorEastAsia" w:hAnsiTheme="minorEastAsia" w:eastAsiaTheme="minorEastAsia"/>
          <w:b/>
          <w:szCs w:val="24"/>
          <w:u w:val="single"/>
        </w:rPr>
        <w:t>日00:00（北京时间）</w:t>
      </w:r>
      <w:r>
        <w:rPr>
          <w:rFonts w:hint="eastAsia" w:asciiTheme="minorEastAsia" w:hAnsiTheme="minorEastAsia" w:eastAsiaTheme="minorEastAsia"/>
          <w:szCs w:val="24"/>
        </w:rPr>
        <w:t>前，供应商如果认为采购文件存在不明确、不清晰和前后不一致等问题，可登录“深圳政府采购智慧平台用户网上办事子系统（http://zfcg.szggzy.com:8081/TPBidder/memberLogin）”，在“【我的项目】→【项目流程】→【提问】”功能点中填写需澄清内容。</w:t>
      </w:r>
      <w:r>
        <w:rPr>
          <w:rFonts w:hint="eastAsia" w:asciiTheme="minorEastAsia" w:hAnsiTheme="minorEastAsia" w:eastAsiaTheme="minorEastAsia"/>
          <w:b/>
          <w:szCs w:val="24"/>
          <w:u w:val="single"/>
        </w:rPr>
        <w:t>2023年</w:t>
      </w:r>
      <w:r>
        <w:rPr>
          <w:rFonts w:hint="eastAsia" w:asciiTheme="minorEastAsia" w:hAnsiTheme="minorEastAsia" w:eastAsiaTheme="minorEastAsia"/>
          <w:b/>
          <w:szCs w:val="24"/>
          <w:u w:val="single"/>
          <w:lang w:val="en-US" w:eastAsia="zh-CN"/>
        </w:rPr>
        <w:t>06</w:t>
      </w:r>
      <w:r>
        <w:rPr>
          <w:rFonts w:hint="eastAsia" w:asciiTheme="minorEastAsia" w:hAnsiTheme="minorEastAsia" w:eastAsiaTheme="minorEastAsia"/>
          <w:b/>
          <w:szCs w:val="24"/>
          <w:u w:val="single"/>
        </w:rPr>
        <w:t>月</w:t>
      </w:r>
      <w:r>
        <w:rPr>
          <w:rFonts w:hint="eastAsia" w:asciiTheme="minorEastAsia" w:hAnsiTheme="minorEastAsia" w:eastAsiaTheme="minorEastAsia"/>
          <w:b/>
          <w:szCs w:val="24"/>
          <w:u w:val="single"/>
          <w:lang w:val="en-US" w:eastAsia="zh-CN"/>
        </w:rPr>
        <w:t>02</w:t>
      </w:r>
      <w:r>
        <w:rPr>
          <w:rFonts w:hint="eastAsia" w:asciiTheme="minorEastAsia" w:hAnsiTheme="minorEastAsia" w:eastAsiaTheme="minorEastAsia"/>
          <w:b/>
          <w:szCs w:val="24"/>
          <w:u w:val="single"/>
        </w:rPr>
        <w:t>日00:00（北京时间）</w:t>
      </w:r>
      <w:r>
        <w:rPr>
          <w:rFonts w:hint="eastAsia" w:asciiTheme="minorEastAsia" w:hAnsiTheme="minorEastAsia" w:eastAsiaTheme="minorEastAsia"/>
          <w:szCs w:val="24"/>
        </w:rPr>
        <w:t>前将采购文件澄清/修改情况在“【我的项目】→【项目流程】→【答疑澄清文件下载】”中公布，望投标人予以关注。</w:t>
      </w:r>
    </w:p>
    <w:p>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网（ https://www.szggzy.com/fwdh/fwdhzfcg/bszn1/content_203163.html ）所发布的质疑指引、质疑函模板填写质疑函并提交质疑材料。质疑材料可以采用现场或邮寄方式提交，采用邮寄方式提交的，交邮时间应在本公告发布之日起七个工作日内。质疑材料现场提交、邮寄地址：深圳市福田区民田路171号新华保险大厦903深圳市中正招标有限公司。质疑咨询电话：0755-83026699。根据《深圳经济特区政府采购条例》第四十二条“供应商投诉的事项应当是经过质疑的事项”的规定，未经正式质疑的，将影响供应商行使向财政部门提起投诉的权利。）</w:t>
      </w:r>
    </w:p>
    <w:p>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 xml:space="preserve">3、深圳市中正招标有限公司有权对投标人就本项目要求提供的相关证明资料（原件）进行审查。供应商提供虚假资料被查实的，则可能面临被取消本项目中标资格、列入不良行为记录名单和三年内禁止参与深圳市政府采购活动的风险。 </w:t>
      </w:r>
    </w:p>
    <w:p>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4、本招标公告及本项目招标文件所涉及的时间一律为北京时间。投标人有义务在招标活动期间浏览深圳公共资源交易网（</w:t>
      </w:r>
      <w:r>
        <w:rPr>
          <w:rFonts w:asciiTheme="minorEastAsia" w:hAnsiTheme="minorEastAsia" w:eastAsiaTheme="minorEastAsia"/>
          <w:szCs w:val="24"/>
        </w:rPr>
        <w:t>https://www.szggzy.com</w:t>
      </w:r>
      <w:r>
        <w:rPr>
          <w:rFonts w:hint="eastAsia" w:asciiTheme="minorEastAsia" w:hAnsiTheme="minorEastAsia" w:eastAsiaTheme="minorEastAsia"/>
          <w:szCs w:val="24"/>
        </w:rPr>
        <w:t>），在深圳公共资源交易网上公布的与本次招标项目有关的信息视为已送达各投标人。</w:t>
      </w:r>
    </w:p>
    <w:p>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5、本项目不需要投标保证金</w:t>
      </w:r>
      <w:r>
        <w:rPr>
          <w:rFonts w:asciiTheme="minorEastAsia" w:hAnsiTheme="minorEastAsia" w:eastAsiaTheme="minorEastAsia"/>
          <w:szCs w:val="24"/>
        </w:rPr>
        <w:t>。</w:t>
      </w:r>
    </w:p>
    <w:p>
      <w:pPr>
        <w:widowControl/>
        <w:spacing w:line="360" w:lineRule="exact"/>
        <w:ind w:firstLine="424" w:firstLineChars="202"/>
        <w:rPr>
          <w:rFonts w:ascii="宋体" w:hAnsi="宋体"/>
          <w:szCs w:val="24"/>
        </w:rPr>
      </w:pPr>
    </w:p>
    <w:p>
      <w:pPr>
        <w:widowControl/>
        <w:spacing w:line="360" w:lineRule="exact"/>
        <w:rPr>
          <w:rFonts w:ascii="宋体" w:hAnsi="宋体"/>
          <w:szCs w:val="24"/>
        </w:rPr>
      </w:pPr>
      <w:r>
        <w:rPr>
          <w:rFonts w:ascii="宋体" w:hAnsi="宋体"/>
          <w:szCs w:val="24"/>
        </w:rPr>
        <w:t>七、对本次招标提出询问，请按以下方式联系。</w:t>
      </w:r>
    </w:p>
    <w:p>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 xml:space="preserve">采购人信息 </w:t>
      </w:r>
    </w:p>
    <w:p>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名称：深圳市工业和信息化局</w:t>
      </w:r>
    </w:p>
    <w:p>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地址：深圳市福田区福中三路市民中心三楼</w:t>
      </w:r>
    </w:p>
    <w:p>
      <w:pPr>
        <w:spacing w:line="360" w:lineRule="exact"/>
        <w:ind w:firstLine="424" w:firstLineChars="202"/>
        <w:rPr>
          <w:rFonts w:hint="default" w:eastAsia="宋体" w:asciiTheme="minorEastAsia" w:hAnsiTheme="minorEastAsia"/>
          <w:szCs w:val="24"/>
          <w:lang w:val="en-US" w:eastAsia="zh-CN"/>
        </w:rPr>
      </w:pPr>
      <w:r>
        <w:rPr>
          <w:rFonts w:hint="eastAsia" w:asciiTheme="minorEastAsia" w:hAnsiTheme="minorEastAsia" w:eastAsiaTheme="minorEastAsia"/>
          <w:szCs w:val="24"/>
        </w:rPr>
        <w:t>联系方式：</w:t>
      </w:r>
      <w:r>
        <w:rPr>
          <w:rFonts w:hint="eastAsia" w:asciiTheme="minorEastAsia" w:hAnsiTheme="minorEastAsia" w:eastAsiaTheme="minorEastAsia"/>
          <w:szCs w:val="24"/>
          <w:lang w:val="en-US" w:eastAsia="zh-CN"/>
        </w:rPr>
        <w:t>0755-88101243</w:t>
      </w:r>
    </w:p>
    <w:p>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 xml:space="preserve">采购代理机构信息 </w:t>
      </w:r>
    </w:p>
    <w:p>
      <w:pPr>
        <w:spacing w:line="360" w:lineRule="exact"/>
        <w:ind w:firstLine="424" w:firstLineChars="202"/>
        <w:rPr>
          <w:rFonts w:asciiTheme="minorEastAsia" w:hAnsiTheme="minorEastAsia" w:eastAsiaTheme="minorEastAsia"/>
          <w:szCs w:val="24"/>
        </w:rPr>
      </w:pPr>
      <w:r>
        <w:rPr>
          <w:rFonts w:asciiTheme="minorEastAsia" w:hAnsiTheme="minorEastAsia" w:eastAsiaTheme="minorEastAsia"/>
          <w:szCs w:val="24"/>
        </w:rPr>
        <w:t xml:space="preserve">名称：深圳市中正招标有限公司 </w:t>
      </w:r>
    </w:p>
    <w:p>
      <w:pPr>
        <w:spacing w:line="360" w:lineRule="exact"/>
        <w:ind w:firstLine="424" w:firstLineChars="202"/>
        <w:rPr>
          <w:rFonts w:asciiTheme="minorEastAsia" w:hAnsiTheme="minorEastAsia" w:eastAsiaTheme="minorEastAsia"/>
          <w:szCs w:val="24"/>
        </w:rPr>
      </w:pPr>
      <w:r>
        <w:rPr>
          <w:rFonts w:asciiTheme="minorEastAsia" w:hAnsiTheme="minorEastAsia" w:eastAsiaTheme="minorEastAsia"/>
          <w:szCs w:val="24"/>
        </w:rPr>
        <w:t>地址：深圳市福田区</w:t>
      </w:r>
      <w:r>
        <w:rPr>
          <w:rFonts w:hint="eastAsia" w:asciiTheme="minorEastAsia" w:hAnsiTheme="minorEastAsia" w:eastAsiaTheme="minorEastAsia"/>
          <w:szCs w:val="24"/>
        </w:rPr>
        <w:t>民田路171号新华保险大厦903</w:t>
      </w:r>
    </w:p>
    <w:p>
      <w:pPr>
        <w:spacing w:line="360" w:lineRule="exact"/>
        <w:ind w:firstLine="424" w:firstLineChars="202"/>
        <w:rPr>
          <w:rFonts w:asciiTheme="minorEastAsia" w:hAnsiTheme="minorEastAsia" w:eastAsiaTheme="minorEastAsia"/>
          <w:szCs w:val="24"/>
        </w:rPr>
      </w:pPr>
      <w:r>
        <w:rPr>
          <w:rFonts w:asciiTheme="minorEastAsia" w:hAnsiTheme="minorEastAsia" w:eastAsiaTheme="minorEastAsia"/>
          <w:szCs w:val="24"/>
        </w:rPr>
        <w:t>联系方式：0755-83026699</w:t>
      </w:r>
    </w:p>
    <w:p>
      <w:pPr>
        <w:spacing w:line="360" w:lineRule="exact"/>
        <w:ind w:firstLine="424" w:firstLineChars="202"/>
        <w:rPr>
          <w:rFonts w:asciiTheme="minorEastAsia" w:hAnsiTheme="minorEastAsia" w:eastAsiaTheme="minorEastAsia"/>
          <w:szCs w:val="24"/>
        </w:rPr>
      </w:pPr>
      <w:r>
        <w:rPr>
          <w:rFonts w:hint="eastAsia" w:asciiTheme="minorEastAsia" w:hAnsiTheme="minorEastAsia" w:eastAsiaTheme="minorEastAsia"/>
          <w:szCs w:val="24"/>
        </w:rPr>
        <w:t>3、</w:t>
      </w:r>
      <w:r>
        <w:rPr>
          <w:rFonts w:asciiTheme="minorEastAsia" w:hAnsiTheme="minorEastAsia" w:eastAsiaTheme="minorEastAsia"/>
          <w:szCs w:val="24"/>
        </w:rPr>
        <w:t xml:space="preserve">项目联系方式 </w:t>
      </w:r>
    </w:p>
    <w:p>
      <w:pPr>
        <w:spacing w:line="360" w:lineRule="exact"/>
        <w:ind w:firstLine="424" w:firstLineChars="202"/>
        <w:rPr>
          <w:rFonts w:asciiTheme="minorEastAsia" w:hAnsiTheme="minorEastAsia" w:eastAsiaTheme="minorEastAsia"/>
          <w:szCs w:val="24"/>
        </w:rPr>
      </w:pPr>
      <w:r>
        <w:rPr>
          <w:rFonts w:asciiTheme="minorEastAsia" w:hAnsiTheme="minorEastAsia" w:eastAsiaTheme="minorEastAsia"/>
          <w:szCs w:val="24"/>
        </w:rPr>
        <w:t>项目联系人：</w:t>
      </w:r>
      <w:r>
        <w:rPr>
          <w:rFonts w:hint="eastAsia" w:asciiTheme="minorEastAsia" w:hAnsiTheme="minorEastAsia" w:eastAsiaTheme="minorEastAsia"/>
          <w:szCs w:val="24"/>
        </w:rPr>
        <w:t>李先生</w:t>
      </w:r>
      <w:r>
        <w:rPr>
          <w:rFonts w:asciiTheme="minorEastAsia" w:hAnsiTheme="minorEastAsia" w:eastAsiaTheme="minorEastAsia"/>
          <w:szCs w:val="24"/>
        </w:rPr>
        <w:t xml:space="preserve"> </w:t>
      </w:r>
    </w:p>
    <w:p>
      <w:pPr>
        <w:spacing w:line="360" w:lineRule="exact"/>
        <w:ind w:firstLine="424" w:firstLineChars="202"/>
        <w:rPr>
          <w:rFonts w:asciiTheme="minorEastAsia" w:hAnsiTheme="minorEastAsia" w:eastAsiaTheme="minorEastAsia"/>
          <w:szCs w:val="24"/>
        </w:rPr>
      </w:pPr>
      <w:r>
        <w:rPr>
          <w:rFonts w:asciiTheme="minorEastAsia" w:hAnsiTheme="minorEastAsia" w:eastAsiaTheme="minorEastAsia"/>
          <w:szCs w:val="24"/>
        </w:rPr>
        <w:t>电话：</w:t>
      </w:r>
      <w:r>
        <w:rPr>
          <w:rFonts w:hint="eastAsia" w:asciiTheme="minorEastAsia" w:hAnsiTheme="minorEastAsia" w:eastAsiaTheme="minorEastAsia"/>
          <w:szCs w:val="24"/>
        </w:rPr>
        <w:t>0755-83026699</w:t>
      </w:r>
    </w:p>
    <w:p>
      <w:pPr>
        <w:spacing w:line="360" w:lineRule="exact"/>
        <w:ind w:firstLine="424" w:firstLineChars="202"/>
        <w:rPr>
          <w:rFonts w:asciiTheme="minorEastAsia" w:hAnsiTheme="minorEastAsia" w:eastAsiaTheme="minorEastAsia"/>
          <w:szCs w:val="24"/>
        </w:rPr>
      </w:pPr>
    </w:p>
    <w:p>
      <w:pPr>
        <w:widowControl/>
        <w:spacing w:line="360" w:lineRule="exact"/>
        <w:ind w:firstLine="484" w:firstLineChars="202"/>
        <w:jc w:val="right"/>
        <w:rPr>
          <w:rFonts w:ascii="宋体" w:hAnsi="宋体"/>
          <w:sz w:val="24"/>
          <w:szCs w:val="24"/>
        </w:rPr>
      </w:pPr>
      <w:r>
        <w:rPr>
          <w:rFonts w:hint="eastAsia" w:ascii="宋体" w:hAnsi="宋体"/>
          <w:sz w:val="24"/>
          <w:szCs w:val="24"/>
        </w:rPr>
        <w:t>深圳市中正招标有限公司</w:t>
      </w:r>
    </w:p>
    <w:p>
      <w:pPr>
        <w:widowControl/>
        <w:spacing w:line="360" w:lineRule="exact"/>
        <w:ind w:firstLine="484" w:firstLineChars="202"/>
        <w:jc w:val="right"/>
        <w:rPr>
          <w:rFonts w:ascii="宋体" w:hAnsi="宋体"/>
          <w:szCs w:val="21"/>
        </w:rPr>
      </w:pPr>
      <w:r>
        <w:rPr>
          <w:rFonts w:hint="eastAsia" w:ascii="宋体" w:hAnsi="宋体"/>
          <w:sz w:val="24"/>
          <w:szCs w:val="24"/>
        </w:rPr>
        <w:t>2023年</w:t>
      </w:r>
      <w:r>
        <w:rPr>
          <w:rFonts w:hint="eastAsia" w:ascii="宋体" w:hAnsi="宋体"/>
          <w:sz w:val="24"/>
          <w:szCs w:val="24"/>
          <w:lang w:val="en-US" w:eastAsia="zh-CN"/>
        </w:rPr>
        <w:t>05</w:t>
      </w:r>
      <w:r>
        <w:rPr>
          <w:rFonts w:hint="eastAsia" w:ascii="宋体" w:hAnsi="宋体"/>
          <w:sz w:val="24"/>
          <w:szCs w:val="24"/>
        </w:rPr>
        <w:t>月</w:t>
      </w:r>
      <w:r>
        <w:rPr>
          <w:rFonts w:hint="eastAsia" w:ascii="宋体" w:hAnsi="宋体"/>
          <w:sz w:val="24"/>
          <w:szCs w:val="24"/>
          <w:lang w:val="en-US" w:eastAsia="zh-CN"/>
        </w:rPr>
        <w:t>25</w:t>
      </w:r>
      <w:r>
        <w:rPr>
          <w:rFonts w:hint="eastAsia" w:ascii="宋体" w:hAnsi="宋体"/>
          <w:sz w:val="24"/>
          <w:szCs w:val="24"/>
        </w:rPr>
        <w:t>日</w:t>
      </w:r>
      <w:bookmarkEnd w:id="0"/>
      <w:bookmarkEnd w:id="1"/>
    </w:p>
    <w:p>
      <w:pPr>
        <w:spacing w:line="400" w:lineRule="exact"/>
        <w:jc w:val="right"/>
        <w:rPr>
          <w:rFonts w:ascii="宋体" w:hAnsi="宋体"/>
          <w:szCs w:val="21"/>
        </w:rPr>
      </w:pPr>
    </w:p>
    <w:p>
      <w:pPr>
        <w:spacing w:line="400" w:lineRule="exact"/>
        <w:jc w:val="right"/>
        <w:rPr>
          <w:rFonts w:ascii="宋体" w:hAnsi="宋体"/>
          <w:szCs w:val="21"/>
        </w:rPr>
      </w:pPr>
    </w:p>
    <w:p>
      <w:pPr>
        <w:spacing w:line="400" w:lineRule="exact"/>
        <w:jc w:val="right"/>
        <w:rPr>
          <w:rFonts w:ascii="宋体" w:hAnsi="宋体"/>
          <w:szCs w:val="21"/>
        </w:rPr>
      </w:pPr>
    </w:p>
    <w:p>
      <w:pPr>
        <w:rPr>
          <w:rFonts w:hint="eastAsia" w:ascii="宋体" w:hAnsi="宋体"/>
          <w:b/>
          <w:bCs/>
          <w:kern w:val="0"/>
          <w:sz w:val="24"/>
          <w:szCs w:val="20"/>
        </w:rPr>
      </w:pPr>
      <w:r>
        <w:rPr>
          <w:rFonts w:hint="eastAsia" w:ascii="宋体" w:hAnsi="宋体"/>
          <w:b/>
          <w:bCs/>
          <w:kern w:val="0"/>
          <w:sz w:val="24"/>
          <w:szCs w:val="20"/>
        </w:rPr>
        <w:br w:type="page"/>
      </w:r>
    </w:p>
    <w:p>
      <w:pPr>
        <w:keepNext/>
        <w:keepLines/>
        <w:adjustRightInd w:val="0"/>
        <w:spacing w:before="260" w:after="260"/>
        <w:jc w:val="center"/>
        <w:textAlignment w:val="baseline"/>
        <w:outlineLvl w:val="1"/>
        <w:rPr>
          <w:rFonts w:ascii="宋体" w:hAnsi="宋体"/>
          <w:b/>
          <w:bCs/>
          <w:kern w:val="0"/>
          <w:sz w:val="24"/>
          <w:szCs w:val="20"/>
        </w:rPr>
      </w:pPr>
      <w:r>
        <w:rPr>
          <w:rFonts w:hint="eastAsia" w:ascii="宋体" w:hAnsi="宋体"/>
          <w:b/>
          <w:bCs/>
          <w:kern w:val="0"/>
          <w:sz w:val="24"/>
          <w:szCs w:val="20"/>
        </w:rPr>
        <w:t>第二章  招标项目需求</w:t>
      </w:r>
    </w:p>
    <w:p>
      <w:pPr>
        <w:keepNext/>
        <w:keepLines/>
        <w:adjustRightInd w:val="0"/>
        <w:spacing w:beforeLines="50" w:afterLines="50"/>
        <w:jc w:val="center"/>
        <w:textAlignment w:val="baseline"/>
        <w:outlineLvl w:val="1"/>
        <w:rPr>
          <w:rFonts w:ascii="宋体" w:hAnsi="宋体"/>
          <w:b/>
          <w:bCs/>
          <w:kern w:val="0"/>
          <w:sz w:val="28"/>
          <w:szCs w:val="28"/>
        </w:rPr>
      </w:pPr>
      <w:bookmarkStart w:id="2" w:name="_Toc73517639"/>
      <w:bookmarkStart w:id="3" w:name="_Toc73521547"/>
      <w:bookmarkStart w:id="4" w:name="_Toc73518117"/>
      <w:bookmarkStart w:id="5" w:name="_Toc73521635"/>
      <w:bookmarkStart w:id="6" w:name="_Toc100052364"/>
      <w:bookmarkStart w:id="7" w:name="_Toc60560625"/>
      <w:bookmarkStart w:id="8" w:name="_Toc101074876"/>
      <w:bookmarkStart w:id="9" w:name="_Toc60631620"/>
      <w:r>
        <w:rPr>
          <w:rFonts w:hint="eastAsia" w:ascii="宋体" w:hAnsi="宋体"/>
          <w:b/>
          <w:bCs/>
          <w:kern w:val="0"/>
          <w:sz w:val="28"/>
          <w:szCs w:val="28"/>
        </w:rPr>
        <w:t>一、对通用条款的补充内容</w:t>
      </w:r>
    </w:p>
    <w:bookmarkEnd w:id="2"/>
    <w:bookmarkEnd w:id="3"/>
    <w:bookmarkEnd w:id="4"/>
    <w:bookmarkEnd w:id="5"/>
    <w:bookmarkEnd w:id="6"/>
    <w:bookmarkEnd w:id="7"/>
    <w:bookmarkEnd w:id="8"/>
    <w:bookmarkEnd w:id="9"/>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b/>
                <w:bCs/>
                <w:szCs w:val="24"/>
              </w:rPr>
            </w:pPr>
            <w:r>
              <w:rPr>
                <w:rFonts w:hint="eastAsia" w:ascii="宋体" w:hAnsi="宋体"/>
                <w:b/>
                <w:bCs/>
                <w:szCs w:val="24"/>
              </w:rPr>
              <w:t>序号</w:t>
            </w:r>
          </w:p>
        </w:tc>
        <w:tc>
          <w:tcPr>
            <w:tcW w:w="2160" w:type="dxa"/>
            <w:vAlign w:val="center"/>
          </w:tcPr>
          <w:p>
            <w:pPr>
              <w:jc w:val="center"/>
              <w:rPr>
                <w:rFonts w:ascii="宋体" w:hAnsi="宋体"/>
                <w:b/>
                <w:bCs/>
                <w:szCs w:val="24"/>
              </w:rPr>
            </w:pPr>
            <w:r>
              <w:rPr>
                <w:rFonts w:hint="eastAsia" w:ascii="宋体" w:hAnsi="宋体"/>
                <w:b/>
                <w:bCs/>
                <w:szCs w:val="24"/>
              </w:rPr>
              <w:t>内   容</w:t>
            </w:r>
          </w:p>
        </w:tc>
        <w:tc>
          <w:tcPr>
            <w:tcW w:w="5400" w:type="dxa"/>
            <w:vAlign w:val="center"/>
          </w:tcPr>
          <w:p>
            <w:pPr>
              <w:jc w:val="center"/>
              <w:rPr>
                <w:rFonts w:ascii="宋体" w:hAnsi="宋体"/>
                <w:b/>
                <w:bCs/>
                <w:szCs w:val="24"/>
              </w:rPr>
            </w:pPr>
            <w:r>
              <w:rPr>
                <w:rFonts w:hint="eastAsia" w:ascii="宋体" w:hAnsi="宋体"/>
                <w:b/>
                <w:bCs/>
                <w:szCs w:val="24"/>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807" w:type="dxa"/>
            <w:vAlign w:val="center"/>
          </w:tcPr>
          <w:p>
            <w:pPr>
              <w:jc w:val="center"/>
              <w:rPr>
                <w:rFonts w:ascii="宋体" w:hAnsi="宋体"/>
                <w:szCs w:val="24"/>
              </w:rPr>
            </w:pPr>
            <w:r>
              <w:rPr>
                <w:rFonts w:hint="eastAsia" w:ascii="宋体" w:hAnsi="宋体"/>
                <w:szCs w:val="24"/>
              </w:rPr>
              <w:t>1</w:t>
            </w:r>
          </w:p>
        </w:tc>
        <w:tc>
          <w:tcPr>
            <w:tcW w:w="2160" w:type="dxa"/>
            <w:vAlign w:val="center"/>
          </w:tcPr>
          <w:p>
            <w:pPr>
              <w:jc w:val="center"/>
              <w:rPr>
                <w:rFonts w:ascii="Times New Roman" w:hAnsi="Times New Roman"/>
                <w:szCs w:val="24"/>
              </w:rPr>
            </w:pPr>
            <w:r>
              <w:rPr>
                <w:rFonts w:hint="eastAsia" w:ascii="Times New Roman" w:hAnsi="Times New Roman"/>
                <w:szCs w:val="24"/>
              </w:rPr>
              <w:t>联合体投标</w:t>
            </w:r>
          </w:p>
        </w:tc>
        <w:tc>
          <w:tcPr>
            <w:tcW w:w="5400" w:type="dxa"/>
            <w:vAlign w:val="center"/>
          </w:tcPr>
          <w:p>
            <w:pPr>
              <w:rPr>
                <w:rFonts w:ascii="宋体" w:hAnsi="宋体"/>
                <w:snapToGrid w:val="0"/>
                <w:kern w:val="0"/>
                <w:szCs w:val="32"/>
                <w:lang w:val="zh-CN"/>
              </w:rPr>
            </w:pPr>
            <w:r>
              <w:rPr>
                <w:rFonts w:hint="eastAsia" w:ascii="宋体" w:hAnsi="宋体"/>
                <w:snapToGrid w:val="0"/>
                <w:kern w:val="0"/>
                <w:szCs w:val="32"/>
                <w:lang w:val="zh-CN"/>
              </w:rPr>
              <w:t>见《招标公告》中“项目基本情况”部分的相关内容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807" w:type="dxa"/>
            <w:vAlign w:val="center"/>
          </w:tcPr>
          <w:p>
            <w:pPr>
              <w:jc w:val="center"/>
              <w:rPr>
                <w:rFonts w:ascii="宋体" w:hAnsi="宋体"/>
                <w:szCs w:val="24"/>
              </w:rPr>
            </w:pPr>
            <w:r>
              <w:rPr>
                <w:rFonts w:hint="eastAsia" w:ascii="宋体" w:hAnsi="宋体"/>
                <w:szCs w:val="24"/>
              </w:rPr>
              <w:t>2</w:t>
            </w:r>
          </w:p>
        </w:tc>
        <w:tc>
          <w:tcPr>
            <w:tcW w:w="2160" w:type="dxa"/>
            <w:vAlign w:val="center"/>
          </w:tcPr>
          <w:p>
            <w:pPr>
              <w:jc w:val="center"/>
              <w:rPr>
                <w:rFonts w:ascii="宋体" w:hAnsi="宋体"/>
                <w:szCs w:val="24"/>
              </w:rPr>
            </w:pPr>
            <w:r>
              <w:rPr>
                <w:rFonts w:hint="eastAsia" w:ascii="宋体" w:hAnsi="宋体"/>
                <w:szCs w:val="24"/>
              </w:rPr>
              <w:t>投标有效期</w:t>
            </w:r>
          </w:p>
        </w:tc>
        <w:tc>
          <w:tcPr>
            <w:tcW w:w="5400" w:type="dxa"/>
            <w:vAlign w:val="center"/>
          </w:tcPr>
          <w:p>
            <w:pPr>
              <w:rPr>
                <w:rFonts w:ascii="宋体" w:hAnsi="宋体"/>
                <w:szCs w:val="24"/>
              </w:rPr>
            </w:pPr>
            <w:r>
              <w:rPr>
                <w:rFonts w:hint="eastAsia" w:ascii="宋体" w:hAnsi="宋体"/>
                <w:szCs w:val="24"/>
                <w:u w:val="single"/>
              </w:rPr>
              <w:t>90</w:t>
            </w:r>
            <w:r>
              <w:rPr>
                <w:rFonts w:ascii="宋体" w:hAnsi="宋体"/>
                <w:szCs w:val="24"/>
                <w:u w:val="single"/>
              </w:rPr>
              <w:t>日历天</w:t>
            </w:r>
            <w:r>
              <w:rPr>
                <w:rFonts w:ascii="宋体" w:hAnsi="宋体"/>
                <w:szCs w:val="24"/>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807" w:type="dxa"/>
            <w:vAlign w:val="center"/>
          </w:tcPr>
          <w:p>
            <w:pPr>
              <w:jc w:val="center"/>
              <w:rPr>
                <w:rFonts w:ascii="宋体" w:hAnsi="宋体"/>
                <w:szCs w:val="24"/>
              </w:rPr>
            </w:pPr>
            <w:r>
              <w:rPr>
                <w:rFonts w:hint="eastAsia" w:ascii="宋体" w:hAnsi="宋体"/>
                <w:szCs w:val="24"/>
              </w:rPr>
              <w:t>3</w:t>
            </w:r>
          </w:p>
        </w:tc>
        <w:tc>
          <w:tcPr>
            <w:tcW w:w="2160" w:type="dxa"/>
            <w:vAlign w:val="center"/>
          </w:tcPr>
          <w:p>
            <w:pPr>
              <w:jc w:val="center"/>
              <w:rPr>
                <w:rFonts w:ascii="宋体" w:hAnsi="宋体"/>
                <w:szCs w:val="24"/>
              </w:rPr>
            </w:pPr>
            <w:r>
              <w:rPr>
                <w:rFonts w:hint="eastAsia" w:ascii="宋体" w:hAnsi="宋体"/>
                <w:szCs w:val="24"/>
              </w:rPr>
              <w:t>投标人的替代方案</w:t>
            </w:r>
          </w:p>
        </w:tc>
        <w:tc>
          <w:tcPr>
            <w:tcW w:w="5400" w:type="dxa"/>
            <w:vAlign w:val="center"/>
          </w:tcPr>
          <w:p>
            <w:pPr>
              <w:rPr>
                <w:rFonts w:ascii="宋体" w:hAnsi="宋体"/>
                <w:szCs w:val="24"/>
              </w:rPr>
            </w:pPr>
            <w:r>
              <w:rPr>
                <w:rFonts w:hint="eastAsia" w:ascii="宋体" w:hAnsi="宋体"/>
                <w:szCs w:val="24"/>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szCs w:val="24"/>
              </w:rPr>
            </w:pPr>
            <w:r>
              <w:rPr>
                <w:rFonts w:hint="eastAsia" w:ascii="宋体" w:hAnsi="宋体"/>
                <w:szCs w:val="24"/>
              </w:rPr>
              <w:t>4</w:t>
            </w:r>
          </w:p>
        </w:tc>
        <w:tc>
          <w:tcPr>
            <w:tcW w:w="2160" w:type="dxa"/>
            <w:vAlign w:val="center"/>
          </w:tcPr>
          <w:p>
            <w:pPr>
              <w:jc w:val="center"/>
              <w:rPr>
                <w:rFonts w:ascii="宋体" w:hAnsi="宋体"/>
                <w:szCs w:val="24"/>
              </w:rPr>
            </w:pPr>
            <w:r>
              <w:rPr>
                <w:rFonts w:hint="eastAsia" w:ascii="宋体" w:hAnsi="宋体"/>
                <w:szCs w:val="24"/>
              </w:rPr>
              <w:t>投标文件的投递</w:t>
            </w:r>
          </w:p>
        </w:tc>
        <w:tc>
          <w:tcPr>
            <w:tcW w:w="5400" w:type="dxa"/>
            <w:vAlign w:val="center"/>
          </w:tcPr>
          <w:p>
            <w:pPr>
              <w:spacing w:line="360" w:lineRule="exact"/>
              <w:rPr>
                <w:rFonts w:ascii="宋体" w:hAnsi="宋体"/>
              </w:rPr>
            </w:pPr>
            <w:r>
              <w:rPr>
                <w:rFonts w:hint="eastAsia" w:ascii="宋体" w:hAnsi="宋体"/>
              </w:rPr>
              <w:t>本项目实行网上投标，投标人必须在招标文件规定的投标截止时间前登录“深圳政府采购智慧平台用户网上办事子系统”，使用“【我的项目】→【项目流程】→【递交投标(应答)文件】</w:t>
            </w:r>
            <w:r>
              <w:rPr>
                <w:rFonts w:ascii="宋体" w:hAnsi="宋体"/>
              </w:rPr>
              <w:t>”功能</w:t>
            </w:r>
            <w:r>
              <w:rPr>
                <w:rFonts w:hint="eastAsia" w:ascii="宋体" w:hAnsi="宋体"/>
              </w:rPr>
              <w:t>点，</w:t>
            </w:r>
            <w:r>
              <w:rPr>
                <w:rFonts w:ascii="宋体" w:hAnsi="宋体"/>
              </w:rPr>
              <w:t>将编制好的电子投标文件上传，投标文件大小不得超过</w:t>
            </w:r>
            <w:r>
              <w:rPr>
                <w:rFonts w:hint="eastAsia" w:ascii="宋体" w:hAnsi="宋体"/>
              </w:rPr>
              <w:t>20</w:t>
            </w:r>
            <w:r>
              <w:rPr>
                <w:rFonts w:ascii="宋体" w:hAnsi="宋体"/>
              </w:rPr>
              <w:t>0MB</w:t>
            </w:r>
            <w:r>
              <w:rPr>
                <w:rFonts w:hint="eastAsia" w:ascii="宋体" w:hAnsi="宋体" w:cs="宋体"/>
                <w:szCs w:val="21"/>
              </w:rPr>
              <w:t>，单个节点文件不能超过</w:t>
            </w:r>
            <w:r>
              <w:rPr>
                <w:rFonts w:ascii="宋体" w:hAnsi="宋体" w:cs="宋体"/>
                <w:szCs w:val="21"/>
              </w:rPr>
              <w:t>50M</w:t>
            </w:r>
            <w:r>
              <w:rPr>
                <w:rFonts w:hint="eastAsia" w:ascii="宋体" w:hAnsi="宋体" w:cs="宋体"/>
                <w:szCs w:val="21"/>
              </w:rPr>
              <w:t>B</w:t>
            </w:r>
            <w:r>
              <w:rPr>
                <w:rFonts w:hint="eastAsia" w:ascii="宋体" w:hAnsi="宋体"/>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szCs w:val="24"/>
              </w:rPr>
            </w:pPr>
            <w:r>
              <w:rPr>
                <w:rFonts w:hint="eastAsia" w:ascii="宋体" w:hAnsi="宋体"/>
                <w:szCs w:val="24"/>
              </w:rPr>
              <w:t>5</w:t>
            </w:r>
          </w:p>
        </w:tc>
        <w:tc>
          <w:tcPr>
            <w:tcW w:w="2160" w:type="dxa"/>
            <w:vAlign w:val="center"/>
          </w:tcPr>
          <w:p>
            <w:pPr>
              <w:jc w:val="center"/>
              <w:rPr>
                <w:rFonts w:ascii="宋体" w:hAnsi="宋体"/>
                <w:szCs w:val="24"/>
              </w:rPr>
            </w:pPr>
            <w:r>
              <w:rPr>
                <w:rFonts w:hint="eastAsia" w:ascii="宋体" w:hAnsi="宋体"/>
                <w:szCs w:val="24"/>
              </w:rPr>
              <w:t>中标服务费</w:t>
            </w:r>
          </w:p>
        </w:tc>
        <w:tc>
          <w:tcPr>
            <w:tcW w:w="5400" w:type="dxa"/>
            <w:vAlign w:val="center"/>
          </w:tcPr>
          <w:p>
            <w:pPr>
              <w:spacing w:line="360" w:lineRule="exact"/>
              <w:rPr>
                <w:rFonts w:ascii="宋体" w:hAnsi="宋体"/>
              </w:rPr>
            </w:pPr>
            <w:r>
              <w:rPr>
                <w:rFonts w:hint="eastAsia" w:ascii="宋体" w:hAnsi="宋体"/>
              </w:rPr>
              <w:t>1、中标人须向采购代理机构缴纳中标服务费，收费标准详见通用条款41.4，最低收取人民币7000元。</w:t>
            </w:r>
          </w:p>
          <w:p>
            <w:pPr>
              <w:spacing w:line="360" w:lineRule="exact"/>
              <w:rPr>
                <w:rFonts w:ascii="宋体" w:hAnsi="宋体"/>
              </w:rPr>
            </w:pPr>
            <w:r>
              <w:rPr>
                <w:rFonts w:hint="eastAsia" w:ascii="宋体" w:hAnsi="宋体"/>
              </w:rPr>
              <w:t>2、中标服务费缴纳至：</w:t>
            </w:r>
          </w:p>
          <w:p>
            <w:pPr>
              <w:spacing w:line="360" w:lineRule="exact"/>
              <w:rPr>
                <w:rFonts w:ascii="宋体" w:hAnsi="宋体"/>
              </w:rPr>
            </w:pPr>
            <w:r>
              <w:rPr>
                <w:rFonts w:hint="eastAsia" w:ascii="宋体" w:hAnsi="宋体"/>
              </w:rPr>
              <w:t>开户名称：</w:t>
            </w:r>
            <w:r>
              <w:rPr>
                <w:rFonts w:hint="eastAsia" w:ascii="宋体" w:hAnsi="宋体"/>
                <w:szCs w:val="24"/>
              </w:rPr>
              <w:t>深圳市中正招标有限公司</w:t>
            </w:r>
          </w:p>
          <w:p>
            <w:pPr>
              <w:spacing w:line="360" w:lineRule="exact"/>
              <w:rPr>
                <w:rFonts w:ascii="宋体" w:hAnsi="宋体"/>
              </w:rPr>
            </w:pPr>
            <w:r>
              <w:rPr>
                <w:rFonts w:hint="eastAsia" w:ascii="宋体" w:hAnsi="宋体"/>
              </w:rPr>
              <w:t>银行帐号：</w:t>
            </w:r>
            <w:r>
              <w:rPr>
                <w:rFonts w:hint="eastAsia" w:ascii="宋体" w:hAnsi="宋体"/>
                <w:szCs w:val="24"/>
              </w:rPr>
              <w:t>03003729353</w:t>
            </w:r>
          </w:p>
          <w:p>
            <w:pPr>
              <w:spacing w:line="360" w:lineRule="exact"/>
              <w:rPr>
                <w:rFonts w:ascii="宋体" w:hAnsi="宋体"/>
              </w:rPr>
            </w:pPr>
            <w:r>
              <w:rPr>
                <w:rFonts w:hint="eastAsia" w:ascii="宋体" w:hAnsi="宋体"/>
              </w:rPr>
              <w:t>开户银行：</w:t>
            </w:r>
            <w:r>
              <w:rPr>
                <w:rFonts w:hint="eastAsia" w:ascii="宋体" w:hAnsi="宋体"/>
                <w:szCs w:val="24"/>
              </w:rPr>
              <w:t>上海银行深圳天安支行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szCs w:val="24"/>
              </w:rPr>
            </w:pPr>
            <w:r>
              <w:rPr>
                <w:rFonts w:hint="eastAsia" w:ascii="宋体" w:hAnsi="宋体"/>
                <w:szCs w:val="24"/>
              </w:rPr>
              <w:t>6</w:t>
            </w:r>
          </w:p>
        </w:tc>
        <w:tc>
          <w:tcPr>
            <w:tcW w:w="2160" w:type="dxa"/>
            <w:vAlign w:val="center"/>
          </w:tcPr>
          <w:p>
            <w:pPr>
              <w:jc w:val="center"/>
              <w:rPr>
                <w:rFonts w:ascii="宋体" w:hAnsi="宋体"/>
                <w:szCs w:val="24"/>
              </w:rPr>
            </w:pPr>
            <w:r>
              <w:rPr>
                <w:rFonts w:hint="eastAsia" w:ascii="宋体" w:hAnsi="宋体"/>
                <w:szCs w:val="24"/>
              </w:rPr>
              <w:t>履约保证金</w:t>
            </w:r>
          </w:p>
        </w:tc>
        <w:tc>
          <w:tcPr>
            <w:tcW w:w="5400" w:type="dxa"/>
            <w:vAlign w:val="center"/>
          </w:tcPr>
          <w:p>
            <w:pPr>
              <w:spacing w:line="360" w:lineRule="exact"/>
              <w:rPr>
                <w:rFonts w:ascii="宋体" w:hAnsi="宋体"/>
              </w:rPr>
            </w:pPr>
            <w:r>
              <w:rPr>
                <w:rFonts w:hint="eastAsia" w:ascii="宋体" w:hAnsi="宋体"/>
                <w:szCs w:val="24"/>
                <w:highlight w:val="none"/>
              </w:rPr>
              <w:t>本项目不收取履约保证金。</w:t>
            </w:r>
          </w:p>
        </w:tc>
      </w:tr>
    </w:tbl>
    <w:p>
      <w:pPr>
        <w:rPr>
          <w:rFonts w:ascii="Times New Roman" w:hAnsi="Times New Roman"/>
          <w:b/>
          <w:szCs w:val="24"/>
        </w:rPr>
      </w:pPr>
      <w:r>
        <w:rPr>
          <w:rFonts w:hint="eastAsia" w:ascii="Times New Roman" w:hAnsi="Times New Roman"/>
          <w:szCs w:val="21"/>
        </w:rPr>
        <w:t xml:space="preserve">    备注：本表为通用条款相关内容的补充和明确，如与通用条款相冲突的以本表为准。</w:t>
      </w:r>
    </w:p>
    <w:p>
      <w:pPr>
        <w:rPr>
          <w:rFonts w:ascii="Times New Roman" w:hAnsi="Times New Roman"/>
          <w:b/>
          <w:szCs w:val="24"/>
        </w:rPr>
      </w:pPr>
    </w:p>
    <w:p>
      <w:pPr>
        <w:pStyle w:val="7"/>
        <w:spacing w:beforeLines="50" w:afterLines="50"/>
      </w:pPr>
      <w:bookmarkStart w:id="10" w:name="_Toc128884461"/>
      <w:r>
        <w:rPr>
          <w:rFonts w:hint="eastAsia"/>
          <w:sz w:val="28"/>
          <w:szCs w:val="28"/>
        </w:rPr>
        <w:t>二、实质性条款</w:t>
      </w:r>
    </w:p>
    <w:tbl>
      <w:tblPr>
        <w:tblStyle w:val="43"/>
        <w:tblW w:w="836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658"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7658" w:type="dxa"/>
            <w:vAlign w:val="center"/>
          </w:tcPr>
          <w:p>
            <w:pPr>
              <w:adjustRightInd w:val="0"/>
              <w:snapToGrid w:val="0"/>
              <w:spacing w:line="360" w:lineRule="auto"/>
              <w:jc w:val="left"/>
              <w:rPr>
                <w:rFonts w:hAnsi="宋体"/>
                <w:kern w:val="0"/>
                <w:szCs w:val="21"/>
              </w:rPr>
            </w:pPr>
            <w:r>
              <w:rPr>
                <w:rFonts w:hint="eastAsia" w:ascii="Times New Roman" w:hAnsi="宋体"/>
                <w:kern w:val="0"/>
                <w:szCs w:val="21"/>
              </w:rPr>
              <w:t>项目服务期：自合同签订之日起一年。</w:t>
            </w:r>
          </w:p>
        </w:tc>
      </w:tr>
    </w:tbl>
    <w:p>
      <w:pPr>
        <w:rPr>
          <w:rFonts w:hint="eastAsia" w:ascii="宋体" w:hAnsi="宋体"/>
          <w:sz w:val="28"/>
          <w:szCs w:val="28"/>
        </w:rPr>
      </w:pPr>
      <w:r>
        <w:rPr>
          <w:rFonts w:hint="eastAsia" w:ascii="黑体"/>
          <w:b/>
          <w:kern w:val="0"/>
          <w:sz w:val="24"/>
        </w:rPr>
        <w:t>注：上表所列内容为不可负偏离条款。</w:t>
      </w:r>
      <w:bookmarkEnd w:id="10"/>
    </w:p>
    <w:p>
      <w:pPr>
        <w:pStyle w:val="20"/>
        <w:jc w:val="center"/>
        <w:rPr>
          <w:rFonts w:hint="eastAsia" w:ascii="宋体" w:hAnsi="宋体"/>
          <w:sz w:val="28"/>
          <w:szCs w:val="28"/>
        </w:rPr>
      </w:pPr>
    </w:p>
    <w:p>
      <w:pPr>
        <w:pStyle w:val="20"/>
        <w:jc w:val="center"/>
        <w:rPr>
          <w:rFonts w:ascii="宋体" w:hAnsi="宋体"/>
          <w:sz w:val="28"/>
          <w:szCs w:val="28"/>
        </w:rPr>
      </w:pPr>
      <w:r>
        <w:rPr>
          <w:rFonts w:hint="eastAsia" w:ascii="宋体" w:hAnsi="宋体"/>
          <w:sz w:val="28"/>
          <w:szCs w:val="28"/>
        </w:rPr>
        <w:t>三、项目概况</w:t>
      </w:r>
    </w:p>
    <w:p>
      <w:pPr>
        <w:pStyle w:val="20"/>
      </w:pPr>
      <w:r>
        <w:rPr>
          <w:rFonts w:hint="eastAsia"/>
        </w:rPr>
        <w:t>（一）采购需求</w:t>
      </w:r>
    </w:p>
    <w:tbl>
      <w:tblPr>
        <w:tblStyle w:val="43"/>
        <w:tblW w:w="9260" w:type="dxa"/>
        <w:tblInd w:w="0" w:type="dxa"/>
        <w:tblLayout w:type="fixed"/>
        <w:tblCellMar>
          <w:top w:w="15" w:type="dxa"/>
          <w:left w:w="15" w:type="dxa"/>
          <w:bottom w:w="15" w:type="dxa"/>
          <w:right w:w="15" w:type="dxa"/>
        </w:tblCellMar>
      </w:tblPr>
      <w:tblGrid>
        <w:gridCol w:w="866"/>
        <w:gridCol w:w="3685"/>
        <w:gridCol w:w="921"/>
        <w:gridCol w:w="922"/>
        <w:gridCol w:w="1701"/>
        <w:gridCol w:w="1165"/>
      </w:tblGrid>
      <w:tr>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4"/>
              </w:rPr>
              <w:t>1</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cs="宋体"/>
                <w:snapToGrid w:val="0"/>
                <w:szCs w:val="21"/>
                <w:lang w:eastAsia="zh-CN"/>
              </w:rPr>
              <w:t>深圳市智能网联汽车产品地方标准体系建设服务项目</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1,200,000.00</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pPr>
        <w:pStyle w:val="20"/>
      </w:pPr>
      <w:r>
        <w:rPr>
          <w:rFonts w:hint="eastAsia"/>
        </w:rPr>
        <w:t>（二）项目背景</w:t>
      </w:r>
    </w:p>
    <w:p>
      <w:pPr>
        <w:pStyle w:val="20"/>
        <w:ind w:firstLine="424" w:firstLineChars="202"/>
        <w:rPr>
          <w:rFonts w:ascii="宋体" w:hAnsi="宋体" w:cs="宋体"/>
          <w:b w:val="0"/>
          <w:sz w:val="21"/>
          <w:szCs w:val="21"/>
        </w:rPr>
      </w:pPr>
      <w:r>
        <w:rPr>
          <w:rFonts w:hint="eastAsia" w:ascii="宋体" w:hAnsi="宋体" w:cs="宋体"/>
          <w:b w:val="0"/>
          <w:sz w:val="21"/>
          <w:szCs w:val="21"/>
        </w:rPr>
        <w:t>依据2022年6月23日经深圳市第七届人民代表大会常务委员会第十次会议通过的《深圳经济特区智能网联汽车管理条例》，采购人为了规范智能网联汽车应用，保护人身安全，保护公民、法人及其他组织的财产安全和其他合法权益，保障道路交通安全，促进智能网联汽车产业高质量、可持续发展，特制定智能网联汽车地方标准体系，规范深圳市智能网联汽车产品质量。本项目从智能网联汽车技术和产业发展现状、发展趋势出发，通过建立深圳市智能网联汽车地方标准体系，推动深圳市智能网联汽车产业发展，提升公共交通安全和交通效率，增加民众智能出行体验。</w:t>
      </w:r>
    </w:p>
    <w:p>
      <w:pPr>
        <w:pStyle w:val="20"/>
        <w:ind w:firstLine="424" w:firstLineChars="202"/>
        <w:rPr>
          <w:b w:val="0"/>
          <w:sz w:val="21"/>
          <w:szCs w:val="21"/>
        </w:rPr>
      </w:pPr>
    </w:p>
    <w:p>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备注：</w:t>
      </w:r>
    </w:p>
    <w:p>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1、本项目需求中出现的工艺、材料、设备或参照的品牌等仅为方便描述而没有限制性，投标人可以在其提供的文件资料中选用替代标准，但这些替代标准要优于或相当于项目需求中要求的标准。</w:t>
      </w:r>
    </w:p>
    <w:p>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2、如要求提供证明材料，投标文件需提供相应证明材料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3、投标人提供证书或检测报告等证明材料的，颁发证书、出具报告的机构须是合法设立的机构，且具有颁发相应证书或者出具相应报告的资质。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kern w:val="0"/>
          <w:sz w:val="28"/>
          <w:szCs w:val="28"/>
        </w:rPr>
      </w:pPr>
      <w:r>
        <w:rPr>
          <w:rFonts w:hint="eastAsia" w:ascii="仿宋_GB2312" w:hAnsi="Times New Roman" w:eastAsia="仿宋_GB2312"/>
          <w:b/>
          <w:sz w:val="24"/>
          <w:szCs w:val="24"/>
          <w:highlight w:val="yellow"/>
        </w:rPr>
        <w:t>4、加注★的条款为不可负偏离条款，任一项未响应或不满足要求的，将导致投标无效。</w:t>
      </w:r>
    </w:p>
    <w:p>
      <w:pPr>
        <w:pStyle w:val="20"/>
        <w:jc w:val="center"/>
        <w:rPr>
          <w:rFonts w:hint="eastAsia" w:ascii="宋体" w:hAnsi="宋体"/>
          <w:sz w:val="28"/>
          <w:szCs w:val="28"/>
        </w:rPr>
      </w:pPr>
    </w:p>
    <w:p>
      <w:pPr>
        <w:keepNext/>
        <w:keepLines/>
        <w:adjustRightInd w:val="0"/>
        <w:spacing w:beforeLines="50" w:afterLines="50"/>
        <w:jc w:val="center"/>
        <w:textAlignment w:val="baseline"/>
        <w:outlineLvl w:val="1"/>
        <w:rPr>
          <w:rFonts w:ascii="宋体" w:hAnsi="宋体"/>
          <w:b/>
          <w:bCs/>
          <w:kern w:val="0"/>
          <w:sz w:val="28"/>
          <w:szCs w:val="28"/>
        </w:rPr>
      </w:pPr>
      <w:r>
        <w:rPr>
          <w:rFonts w:hint="eastAsia" w:ascii="宋体" w:hAnsi="宋体"/>
          <w:b/>
          <w:bCs/>
          <w:kern w:val="0"/>
          <w:sz w:val="28"/>
          <w:szCs w:val="28"/>
        </w:rPr>
        <w:t>四、项目服务要求</w:t>
      </w:r>
    </w:p>
    <w:p>
      <w:pPr>
        <w:spacing w:line="520" w:lineRule="exact"/>
        <w:jc w:val="left"/>
        <w:rPr>
          <w:rFonts w:ascii="宋体" w:hAnsi="宋体" w:cs="宋体"/>
          <w:szCs w:val="21"/>
        </w:rPr>
      </w:pPr>
      <w:r>
        <w:rPr>
          <w:rFonts w:hint="eastAsia" w:ascii="宋体" w:hAnsi="宋体" w:cs="宋体"/>
          <w:szCs w:val="21"/>
        </w:rPr>
        <w:t>（一）总体要求</w:t>
      </w:r>
    </w:p>
    <w:p>
      <w:pPr>
        <w:spacing w:line="520" w:lineRule="exact"/>
        <w:ind w:firstLine="420" w:firstLineChars="200"/>
        <w:jc w:val="left"/>
        <w:rPr>
          <w:rFonts w:ascii="宋体" w:hAnsi="宋体" w:cs="宋体"/>
          <w:szCs w:val="21"/>
        </w:rPr>
      </w:pPr>
      <w:r>
        <w:rPr>
          <w:rFonts w:hint="eastAsia" w:ascii="宋体" w:hAnsi="宋体" w:cs="宋体"/>
          <w:szCs w:val="21"/>
        </w:rPr>
        <w:t>本次工作内容主要包括：深圳市准入管理地方标准体系可行性调研报告、深圳市智能网联汽车地方标准体系。本项目所有成果内容适用于深圳市智能网联汽车准入工作。</w:t>
      </w:r>
    </w:p>
    <w:p>
      <w:pPr>
        <w:spacing w:line="520" w:lineRule="exact"/>
        <w:jc w:val="left"/>
        <w:rPr>
          <w:rFonts w:ascii="宋体" w:hAnsi="宋体" w:cs="宋体"/>
          <w:szCs w:val="21"/>
        </w:rPr>
      </w:pPr>
      <w:r>
        <w:rPr>
          <w:rFonts w:hint="eastAsia" w:ascii="宋体" w:hAnsi="宋体" w:cs="宋体"/>
          <w:szCs w:val="21"/>
        </w:rPr>
        <w:t>（二）人员安排要求</w:t>
      </w:r>
    </w:p>
    <w:p>
      <w:pPr>
        <w:spacing w:line="520" w:lineRule="exact"/>
        <w:ind w:firstLine="420" w:firstLineChars="200"/>
        <w:jc w:val="left"/>
        <w:rPr>
          <w:rFonts w:ascii="宋体" w:hAnsi="宋体" w:cs="宋体"/>
          <w:szCs w:val="21"/>
        </w:rPr>
      </w:pPr>
      <w:r>
        <w:rPr>
          <w:rFonts w:hint="eastAsia" w:ascii="宋体" w:hAnsi="宋体" w:cs="宋体"/>
          <w:szCs w:val="21"/>
        </w:rPr>
        <w:t>要求项目组安排10名或以上工作人员，能够满足本项目所有需求。</w:t>
      </w:r>
    </w:p>
    <w:p>
      <w:pPr>
        <w:spacing w:line="520" w:lineRule="exact"/>
        <w:jc w:val="left"/>
        <w:rPr>
          <w:rFonts w:ascii="宋体" w:hAnsi="宋体" w:cs="宋体"/>
          <w:szCs w:val="21"/>
        </w:rPr>
      </w:pPr>
      <w:r>
        <w:rPr>
          <w:rFonts w:hint="eastAsia" w:ascii="宋体" w:hAnsi="宋体" w:cs="宋体"/>
          <w:szCs w:val="21"/>
        </w:rPr>
        <w:t xml:space="preserve">（三）内容要求 </w:t>
      </w:r>
    </w:p>
    <w:p>
      <w:pPr>
        <w:spacing w:line="520" w:lineRule="exact"/>
        <w:ind w:firstLine="420" w:firstLineChars="200"/>
        <w:jc w:val="left"/>
        <w:rPr>
          <w:rFonts w:ascii="宋体" w:hAnsi="宋体" w:cs="宋体"/>
          <w:szCs w:val="21"/>
        </w:rPr>
      </w:pPr>
      <w:r>
        <w:rPr>
          <w:rFonts w:hint="eastAsia" w:ascii="宋体" w:hAnsi="宋体" w:cs="宋体"/>
          <w:szCs w:val="21"/>
        </w:rPr>
        <w:t>1.深圳市准入管理地方标准体系可行性调研</w:t>
      </w:r>
    </w:p>
    <w:p>
      <w:pPr>
        <w:spacing w:line="520" w:lineRule="exact"/>
        <w:ind w:firstLine="420" w:firstLineChars="200"/>
        <w:jc w:val="left"/>
        <w:rPr>
          <w:rFonts w:ascii="宋体" w:hAnsi="宋体" w:cs="宋体"/>
          <w:szCs w:val="21"/>
        </w:rPr>
      </w:pPr>
      <w:r>
        <w:rPr>
          <w:rFonts w:hint="eastAsia" w:ascii="宋体" w:hAnsi="宋体" w:cs="宋体"/>
          <w:szCs w:val="21"/>
        </w:rPr>
        <w:t>根据深圳市智能网联汽车准入需求，调研国内外技术和产业发展状况、趋势与市场情况、国内外智能网联汽车管理与标准体系建设情况、深圳市智能网联汽车发展现状，且制定深圳智能网联汽车管理的标准体系建设方案。</w:t>
      </w:r>
    </w:p>
    <w:p>
      <w:pPr>
        <w:spacing w:line="520" w:lineRule="exact"/>
        <w:ind w:firstLine="420" w:firstLineChars="200"/>
        <w:jc w:val="left"/>
        <w:rPr>
          <w:rFonts w:ascii="宋体" w:hAnsi="宋体" w:cs="宋体"/>
          <w:szCs w:val="21"/>
        </w:rPr>
      </w:pPr>
      <w:r>
        <w:rPr>
          <w:rFonts w:hint="eastAsia" w:ascii="宋体" w:hAnsi="宋体" w:cs="宋体"/>
          <w:szCs w:val="21"/>
        </w:rPr>
        <w:t>2.深圳市智能网联汽车地方标准体系</w:t>
      </w:r>
    </w:p>
    <w:p>
      <w:pPr>
        <w:spacing w:line="520" w:lineRule="exact"/>
        <w:ind w:firstLine="420" w:firstLineChars="200"/>
        <w:jc w:val="left"/>
        <w:rPr>
          <w:rFonts w:ascii="宋体" w:hAnsi="宋体" w:cs="宋体"/>
          <w:szCs w:val="21"/>
        </w:rPr>
      </w:pPr>
      <w:r>
        <w:rPr>
          <w:rFonts w:hint="eastAsia" w:ascii="宋体" w:hAnsi="宋体" w:cs="宋体"/>
          <w:szCs w:val="21"/>
        </w:rPr>
        <w:t>撰写深圳市智能网联汽车地方标准体系。需要包含自动驾驶、车联网、安全要求、定位要求、监管要求等内容。标准体系涵盖《深圳经济特区智能网联汽车管理条例》中提及的智能网联汽车管理范畴的技术要求及测试方法。标准需要在行业内广泛征集成员且成立工作组进行商讨制定。</w:t>
      </w:r>
    </w:p>
    <w:p>
      <w:pPr>
        <w:spacing w:line="520" w:lineRule="exact"/>
        <w:jc w:val="left"/>
        <w:rPr>
          <w:rFonts w:ascii="宋体" w:hAnsi="宋体" w:cs="宋体"/>
          <w:szCs w:val="21"/>
        </w:rPr>
      </w:pPr>
      <w:r>
        <w:rPr>
          <w:rFonts w:hint="eastAsia" w:ascii="宋体" w:hAnsi="宋体" w:cs="宋体"/>
          <w:szCs w:val="21"/>
        </w:rPr>
        <w:t>（四）成果要求</w:t>
      </w:r>
    </w:p>
    <w:p>
      <w:pPr>
        <w:spacing w:line="520" w:lineRule="exact"/>
        <w:ind w:firstLine="420" w:firstLineChars="200"/>
        <w:jc w:val="left"/>
        <w:rPr>
          <w:rFonts w:ascii="宋体" w:hAnsi="宋体" w:cs="宋体"/>
          <w:szCs w:val="21"/>
        </w:rPr>
      </w:pPr>
      <w:r>
        <w:rPr>
          <w:rFonts w:hint="eastAsia" w:ascii="宋体" w:hAnsi="宋体" w:cs="宋体"/>
          <w:szCs w:val="21"/>
        </w:rPr>
        <w:t>成果主要包括：</w:t>
      </w:r>
    </w:p>
    <w:p>
      <w:pPr>
        <w:spacing w:line="520" w:lineRule="exact"/>
        <w:ind w:firstLine="420" w:firstLineChars="200"/>
        <w:jc w:val="left"/>
        <w:rPr>
          <w:rFonts w:ascii="宋体" w:hAnsi="宋体" w:cs="宋体"/>
          <w:szCs w:val="21"/>
        </w:rPr>
      </w:pPr>
      <w:r>
        <w:rPr>
          <w:rFonts w:hint="eastAsia" w:ascii="宋体" w:hAnsi="宋体" w:cs="宋体"/>
          <w:szCs w:val="21"/>
        </w:rPr>
        <w:t>（1）深圳市准入管理地方标准体系可行性调研报告；</w:t>
      </w:r>
    </w:p>
    <w:p>
      <w:pPr>
        <w:spacing w:line="520" w:lineRule="exact"/>
        <w:ind w:firstLine="420" w:firstLineChars="200"/>
        <w:jc w:val="left"/>
        <w:rPr>
          <w:rFonts w:ascii="宋体" w:hAnsi="宋体" w:cs="宋体"/>
          <w:szCs w:val="21"/>
        </w:rPr>
      </w:pPr>
      <w:r>
        <w:rPr>
          <w:rFonts w:hint="eastAsia" w:ascii="宋体" w:hAnsi="宋体" w:cs="宋体"/>
          <w:szCs w:val="21"/>
        </w:rPr>
        <w:t>（2）深圳市智能网联汽车地方标准体系。</w:t>
      </w:r>
    </w:p>
    <w:p>
      <w:pPr>
        <w:spacing w:line="520" w:lineRule="exact"/>
        <w:jc w:val="left"/>
        <w:rPr>
          <w:rFonts w:ascii="宋体" w:hAnsi="宋体" w:cs="宋体"/>
          <w:szCs w:val="21"/>
        </w:rPr>
      </w:pPr>
      <w:r>
        <w:rPr>
          <w:rFonts w:hint="eastAsia" w:ascii="宋体" w:hAnsi="宋体" w:cs="宋体"/>
          <w:szCs w:val="21"/>
        </w:rPr>
        <w:t>（五）其他要求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bCs/>
          <w:kern w:val="0"/>
          <w:sz w:val="28"/>
          <w:szCs w:val="28"/>
        </w:rPr>
      </w:pPr>
      <w:r>
        <w:rPr>
          <w:rFonts w:hint="eastAsia" w:ascii="宋体" w:hAnsi="宋体" w:cs="宋体"/>
          <w:szCs w:val="21"/>
        </w:rPr>
        <w:t>为保障标准制定的合理性和顺利进展，项目需要全过程、多环节与深圳市工业和信息化局、深圳市市场监督管理局等相关部门做好协调汇报工作。</w:t>
      </w:r>
    </w:p>
    <w:p>
      <w:pPr>
        <w:pStyle w:val="20"/>
        <w:jc w:val="center"/>
        <w:rPr>
          <w:rFonts w:hint="eastAsia" w:ascii="宋体" w:hAnsi="宋体"/>
          <w:sz w:val="28"/>
          <w:szCs w:val="28"/>
        </w:rPr>
      </w:pPr>
    </w:p>
    <w:p>
      <w:pPr>
        <w:keepNext/>
        <w:keepLines/>
        <w:adjustRightInd w:val="0"/>
        <w:spacing w:beforeLines="50" w:afterLines="50"/>
        <w:jc w:val="center"/>
        <w:textAlignment w:val="baseline"/>
        <w:outlineLvl w:val="1"/>
        <w:rPr>
          <w:rFonts w:ascii="宋体" w:hAnsi="宋体"/>
          <w:b/>
          <w:bCs/>
          <w:kern w:val="0"/>
          <w:sz w:val="28"/>
          <w:szCs w:val="28"/>
        </w:rPr>
      </w:pPr>
      <w:r>
        <w:rPr>
          <w:rFonts w:hint="eastAsia" w:ascii="宋体" w:hAnsi="宋体"/>
          <w:b/>
          <w:bCs/>
          <w:kern w:val="0"/>
          <w:sz w:val="28"/>
          <w:szCs w:val="28"/>
        </w:rPr>
        <w:t>五、项目商务要求</w:t>
      </w:r>
    </w:p>
    <w:p>
      <w:pPr>
        <w:pStyle w:val="38"/>
        <w:widowControl w:val="0"/>
        <w:spacing w:before="0" w:beforeAutospacing="0" w:after="0" w:afterAutospacing="0" w:line="360" w:lineRule="auto"/>
        <w:jc w:val="both"/>
        <w:rPr>
          <w:rFonts w:cs="Times New Roman"/>
          <w:b/>
          <w:kern w:val="2"/>
          <w:sz w:val="21"/>
          <w:szCs w:val="21"/>
          <w:highlight w:val="yellow"/>
        </w:rPr>
      </w:pPr>
      <w:r>
        <w:rPr>
          <w:rFonts w:hint="eastAsia"/>
          <w:kern w:val="2"/>
          <w:sz w:val="21"/>
          <w:szCs w:val="21"/>
          <w:highlight w:val="yellow"/>
        </w:rPr>
        <w:t>★</w:t>
      </w:r>
      <w:r>
        <w:rPr>
          <w:rFonts w:hint="eastAsia"/>
          <w:b/>
          <w:kern w:val="2"/>
          <w:sz w:val="21"/>
          <w:szCs w:val="21"/>
          <w:highlight w:val="yellow"/>
        </w:rPr>
        <w:t>（一）服务期限：</w:t>
      </w:r>
    </w:p>
    <w:p>
      <w:pPr>
        <w:pStyle w:val="38"/>
        <w:widowControl w:val="0"/>
        <w:spacing w:before="0" w:beforeAutospacing="0" w:after="0" w:afterAutospacing="0" w:line="360" w:lineRule="auto"/>
        <w:ind w:firstLine="422" w:firstLineChars="200"/>
        <w:jc w:val="both"/>
        <w:rPr>
          <w:rFonts w:cs="Times New Roman"/>
          <w:b/>
          <w:kern w:val="2"/>
          <w:sz w:val="21"/>
          <w:szCs w:val="21"/>
        </w:rPr>
      </w:pPr>
      <w:r>
        <w:rPr>
          <w:rFonts w:hint="eastAsia"/>
          <w:b/>
          <w:kern w:val="2"/>
          <w:sz w:val="21"/>
          <w:szCs w:val="21"/>
          <w:highlight w:val="yellow"/>
        </w:rPr>
        <w:t>自合同签订之日起一年。</w:t>
      </w:r>
    </w:p>
    <w:p>
      <w:pPr>
        <w:pStyle w:val="38"/>
        <w:widowControl w:val="0"/>
        <w:spacing w:before="0" w:beforeAutospacing="0" w:after="0" w:afterAutospacing="0" w:line="360" w:lineRule="auto"/>
        <w:jc w:val="both"/>
        <w:rPr>
          <w:rFonts w:cs="Times New Roman"/>
          <w:b/>
          <w:kern w:val="2"/>
          <w:sz w:val="21"/>
          <w:szCs w:val="21"/>
        </w:rPr>
      </w:pPr>
      <w:r>
        <w:rPr>
          <w:rFonts w:hint="eastAsia"/>
          <w:b/>
          <w:kern w:val="2"/>
          <w:sz w:val="21"/>
          <w:szCs w:val="21"/>
        </w:rPr>
        <w:t>（二）服务地点：</w:t>
      </w:r>
    </w:p>
    <w:p>
      <w:pPr>
        <w:pStyle w:val="38"/>
        <w:widowControl w:val="0"/>
        <w:spacing w:before="0" w:beforeAutospacing="0" w:after="0" w:afterAutospacing="0" w:line="360" w:lineRule="auto"/>
        <w:ind w:firstLine="424" w:firstLineChars="202"/>
        <w:jc w:val="both"/>
        <w:rPr>
          <w:rFonts w:cs="Times New Roman"/>
          <w:b/>
          <w:kern w:val="2"/>
          <w:sz w:val="21"/>
          <w:szCs w:val="21"/>
        </w:rPr>
      </w:pPr>
      <w:r>
        <w:rPr>
          <w:rFonts w:hint="eastAsia"/>
          <w:kern w:val="2"/>
          <w:sz w:val="21"/>
          <w:szCs w:val="21"/>
        </w:rPr>
        <w:t>采购人指定地点。</w:t>
      </w:r>
    </w:p>
    <w:p>
      <w:pPr>
        <w:pStyle w:val="38"/>
        <w:widowControl w:val="0"/>
        <w:spacing w:before="0" w:beforeAutospacing="0" w:after="0" w:afterAutospacing="0" w:line="360" w:lineRule="auto"/>
        <w:jc w:val="both"/>
        <w:rPr>
          <w:rFonts w:cs="Times New Roman"/>
          <w:b/>
          <w:kern w:val="2"/>
          <w:sz w:val="21"/>
          <w:szCs w:val="21"/>
        </w:rPr>
      </w:pPr>
      <w:r>
        <w:rPr>
          <w:rFonts w:hint="eastAsia"/>
          <w:b/>
          <w:kern w:val="2"/>
          <w:sz w:val="21"/>
          <w:szCs w:val="21"/>
        </w:rPr>
        <w:t>（三）付款方式：</w:t>
      </w:r>
    </w:p>
    <w:p>
      <w:pPr>
        <w:spacing w:line="360" w:lineRule="auto"/>
        <w:ind w:firstLine="420" w:firstLineChars="200"/>
        <w:jc w:val="left"/>
        <w:rPr>
          <w:rFonts w:ascii="宋体" w:hAnsi="宋体"/>
          <w:szCs w:val="21"/>
        </w:rPr>
      </w:pPr>
      <w:r>
        <w:rPr>
          <w:rFonts w:hint="eastAsia" w:ascii="宋体" w:hAnsi="宋体" w:cs="宋体"/>
          <w:szCs w:val="21"/>
        </w:rPr>
        <w:t>1、签订合同后，投标人提供工作方案和</w:t>
      </w:r>
      <w:r>
        <w:rPr>
          <w:rFonts w:hint="eastAsia" w:ascii="宋体" w:hAnsi="宋体" w:cs="宋体"/>
          <w:szCs w:val="21"/>
          <w:lang w:val="en-US" w:eastAsia="zh-CN"/>
        </w:rPr>
        <w:t>项目合同金额70%的</w:t>
      </w:r>
      <w:r>
        <w:rPr>
          <w:rFonts w:hint="eastAsia" w:ascii="宋体" w:hAnsi="宋体" w:cs="宋体"/>
          <w:szCs w:val="21"/>
        </w:rPr>
        <w:t>发票，并经采购人审核通过后支付合同金额的</w:t>
      </w:r>
      <w:r>
        <w:rPr>
          <w:rFonts w:hint="eastAsia" w:ascii="宋体" w:hAnsi="宋体" w:cs="宋体"/>
          <w:szCs w:val="21"/>
          <w:lang w:val="en-US" w:eastAsia="zh-CN"/>
        </w:rPr>
        <w:t>70</w:t>
      </w:r>
      <w:r>
        <w:rPr>
          <w:rFonts w:hint="eastAsia" w:ascii="宋体" w:hAnsi="宋体" w:cs="宋体"/>
          <w:szCs w:val="21"/>
        </w:rPr>
        <w:t>%；</w:t>
      </w:r>
    </w:p>
    <w:p>
      <w:pPr>
        <w:spacing w:line="360" w:lineRule="auto"/>
        <w:ind w:firstLine="420" w:firstLineChars="200"/>
        <w:jc w:val="left"/>
        <w:rPr>
          <w:rFonts w:ascii="宋体" w:hAnsi="宋体"/>
          <w:szCs w:val="21"/>
        </w:rPr>
      </w:pPr>
      <w:r>
        <w:rPr>
          <w:rFonts w:hint="eastAsia" w:ascii="宋体" w:hAnsi="宋体" w:cs="宋体"/>
          <w:szCs w:val="21"/>
        </w:rPr>
        <w:t>2、投标人按要求开展工作，提交成果资料并经采购人验收通过，</w:t>
      </w:r>
      <w:r>
        <w:rPr>
          <w:rFonts w:hint="eastAsia" w:ascii="宋体" w:hAnsi="宋体" w:cs="宋体"/>
          <w:szCs w:val="21"/>
          <w:lang w:val="en-US" w:eastAsia="zh-CN"/>
        </w:rPr>
        <w:t>投标人提供项目合同金额30%的</w:t>
      </w:r>
      <w:r>
        <w:rPr>
          <w:rFonts w:hint="eastAsia" w:ascii="宋体" w:hAnsi="宋体" w:cs="宋体"/>
          <w:szCs w:val="21"/>
        </w:rPr>
        <w:t>发票</w:t>
      </w:r>
      <w:r>
        <w:rPr>
          <w:rFonts w:hint="eastAsia" w:ascii="宋体" w:hAnsi="宋体" w:cs="宋体"/>
          <w:szCs w:val="21"/>
          <w:lang w:eastAsia="zh-CN"/>
        </w:rPr>
        <w:t>，</w:t>
      </w:r>
      <w:r>
        <w:rPr>
          <w:rFonts w:hint="eastAsia" w:ascii="宋体" w:hAnsi="宋体" w:cs="宋体"/>
          <w:szCs w:val="21"/>
        </w:rPr>
        <w:t>在合同结束后</w:t>
      </w:r>
      <w:r>
        <w:rPr>
          <w:rFonts w:hint="eastAsia" w:ascii="宋体" w:hAnsi="宋体" w:cs="宋体"/>
          <w:szCs w:val="21"/>
          <w:lang w:val="en-US" w:eastAsia="zh-CN"/>
        </w:rPr>
        <w:t>采购人</w:t>
      </w:r>
      <w:r>
        <w:rPr>
          <w:rFonts w:hint="eastAsia" w:ascii="宋体" w:hAnsi="宋体" w:cs="宋体"/>
          <w:szCs w:val="21"/>
        </w:rPr>
        <w:t>支付</w:t>
      </w:r>
      <w:r>
        <w:rPr>
          <w:rFonts w:hint="eastAsia" w:ascii="宋体" w:hAnsi="宋体" w:cs="宋体"/>
          <w:szCs w:val="21"/>
          <w:lang w:val="en-US" w:eastAsia="zh-CN"/>
        </w:rPr>
        <w:t>剩余</w:t>
      </w:r>
      <w:r>
        <w:rPr>
          <w:rFonts w:hint="eastAsia" w:ascii="宋体" w:hAnsi="宋体" w:cs="宋体"/>
          <w:szCs w:val="21"/>
        </w:rPr>
        <w:t>合同金额的</w:t>
      </w:r>
      <w:r>
        <w:rPr>
          <w:rFonts w:hint="eastAsia" w:ascii="宋体" w:hAnsi="宋体" w:cs="宋体"/>
          <w:szCs w:val="21"/>
          <w:lang w:val="en-US" w:eastAsia="zh-CN"/>
        </w:rPr>
        <w:t>3</w:t>
      </w:r>
      <w:r>
        <w:rPr>
          <w:rFonts w:hint="eastAsia" w:ascii="宋体" w:hAnsi="宋体" w:cs="宋体"/>
          <w:szCs w:val="21"/>
        </w:rPr>
        <w:t>0%。</w:t>
      </w:r>
    </w:p>
    <w:p>
      <w:pPr>
        <w:keepNext/>
        <w:keepLines/>
        <w:adjustRightInd w:val="0"/>
        <w:spacing w:beforeLines="50" w:afterLines="50"/>
        <w:jc w:val="center"/>
        <w:textAlignment w:val="baseline"/>
        <w:outlineLvl w:val="1"/>
        <w:rPr>
          <w:rFonts w:ascii="宋体" w:hAnsi="宋体"/>
          <w:b/>
          <w:bCs/>
          <w:kern w:val="0"/>
          <w:sz w:val="28"/>
          <w:szCs w:val="28"/>
        </w:rPr>
      </w:pPr>
      <w:r>
        <w:rPr>
          <w:rFonts w:hint="eastAsia" w:ascii="宋体" w:hAnsi="宋体"/>
          <w:b/>
          <w:bCs/>
          <w:kern w:val="0"/>
          <w:sz w:val="28"/>
          <w:szCs w:val="28"/>
        </w:rPr>
        <w:t>六、投标报价</w:t>
      </w:r>
    </w:p>
    <w:p>
      <w:pPr>
        <w:keepNext w:val="0"/>
        <w:keepLines w:val="0"/>
        <w:pageBreakBefore w:val="0"/>
        <w:widowControl w:val="0"/>
        <w:kinsoku/>
        <w:wordWrap/>
        <w:overflowPunct/>
        <w:topLinePunct w:val="0"/>
        <w:autoSpaceDE/>
        <w:autoSpaceDN/>
        <w:bidi w:val="0"/>
        <w:adjustRightInd/>
        <w:snapToGrid/>
        <w:spacing w:line="360" w:lineRule="auto"/>
        <w:ind w:firstLine="392" w:firstLineChars="187"/>
        <w:textAlignment w:val="auto"/>
        <w:rPr>
          <w:rFonts w:ascii="宋体" w:hAnsi="宋体"/>
          <w:szCs w:val="21"/>
        </w:rPr>
      </w:pPr>
      <w:r>
        <w:rPr>
          <w:rFonts w:hint="eastAsia" w:ascii="宋体" w:hAnsi="宋体" w:cs="宋体"/>
          <w:szCs w:val="21"/>
        </w:rPr>
        <w:t>1、本项目服务费采用包干制，应包括服务成本、法定税费和企业的利润。由企业根据招标文件</w:t>
      </w:r>
      <w:r>
        <w:rPr>
          <w:rFonts w:hint="eastAsia" w:ascii="宋体" w:hAnsi="宋体"/>
          <w:szCs w:val="21"/>
        </w:rPr>
        <w:t>所提供的资料自行测算投标报价；一经中标，投标报价总价作为中标单位与采购人签定的合同金额，合同期限内不做调整。</w:t>
      </w:r>
    </w:p>
    <w:p>
      <w:pPr>
        <w:keepNext w:val="0"/>
        <w:keepLines w:val="0"/>
        <w:pageBreakBefore w:val="0"/>
        <w:widowControl w:val="0"/>
        <w:kinsoku/>
        <w:wordWrap/>
        <w:overflowPunct/>
        <w:topLinePunct w:val="0"/>
        <w:autoSpaceDE/>
        <w:autoSpaceDN/>
        <w:bidi w:val="0"/>
        <w:adjustRightInd/>
        <w:snapToGrid/>
        <w:spacing w:line="360" w:lineRule="auto"/>
        <w:ind w:firstLine="392" w:firstLineChars="187"/>
        <w:textAlignment w:val="auto"/>
        <w:rPr>
          <w:rFonts w:ascii="宋体" w:hAnsi="宋体"/>
          <w:szCs w:val="21"/>
        </w:rPr>
      </w:pPr>
      <w:r>
        <w:rPr>
          <w:rFonts w:hint="eastAsia" w:ascii="宋体" w:hAnsi="宋体"/>
          <w:szCs w:val="21"/>
        </w:rPr>
        <w:t>2、投标人应根据本企业的成本自行决定报价，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spacing w:line="360" w:lineRule="auto"/>
        <w:ind w:firstLine="392" w:firstLineChars="187"/>
        <w:textAlignment w:val="auto"/>
        <w:rPr>
          <w:rFonts w:ascii="宋体" w:hAnsi="宋体"/>
          <w:szCs w:val="21"/>
        </w:rPr>
      </w:pPr>
      <w:r>
        <w:rPr>
          <w:rFonts w:hint="eastAsia" w:ascii="宋体" w:hAnsi="宋体"/>
          <w:szCs w:val="21"/>
        </w:rPr>
        <w:t>3、投标人的投标报价，应是本项目招标范围和招标文件及合同条款上所列的各项内容中所述的全部，不得以任何理由予以重复，并以投标人在投标文件中提出的综合单价或总价为依据。</w:t>
      </w:r>
    </w:p>
    <w:p>
      <w:pPr>
        <w:keepNext w:val="0"/>
        <w:keepLines w:val="0"/>
        <w:pageBreakBefore w:val="0"/>
        <w:widowControl w:val="0"/>
        <w:kinsoku/>
        <w:wordWrap/>
        <w:overflowPunct/>
        <w:topLinePunct w:val="0"/>
        <w:autoSpaceDE/>
        <w:autoSpaceDN/>
        <w:bidi w:val="0"/>
        <w:adjustRightInd/>
        <w:snapToGrid/>
        <w:spacing w:line="360" w:lineRule="auto"/>
        <w:ind w:firstLine="392" w:firstLineChars="187"/>
        <w:textAlignment w:val="auto"/>
        <w:rPr>
          <w:rFonts w:ascii="宋体" w:hAnsi="宋体"/>
          <w:szCs w:val="21"/>
        </w:rPr>
      </w:pPr>
      <w:r>
        <w:rPr>
          <w:rFonts w:hint="eastAsia" w:ascii="宋体" w:hAnsi="宋体"/>
          <w:szCs w:val="21"/>
        </w:rPr>
        <w:t>4、除非招标文件作出变更，否则，投标人应毫无例外地按招标文件所列的清单中项目和数量填报综合单价或总价。投标人未填综合单价或总价的项目，在实施后，将不得以支付，并视作该项费用已包括在其它有价款的综合单价或总价内。</w:t>
      </w:r>
    </w:p>
    <w:p>
      <w:pPr>
        <w:keepNext w:val="0"/>
        <w:keepLines w:val="0"/>
        <w:pageBreakBefore w:val="0"/>
        <w:widowControl w:val="0"/>
        <w:kinsoku/>
        <w:wordWrap/>
        <w:overflowPunct/>
        <w:topLinePunct w:val="0"/>
        <w:autoSpaceDE/>
        <w:autoSpaceDN/>
        <w:bidi w:val="0"/>
        <w:adjustRightInd/>
        <w:snapToGrid/>
        <w:spacing w:line="360" w:lineRule="auto"/>
        <w:ind w:firstLine="392" w:firstLineChars="187"/>
        <w:textAlignment w:val="auto"/>
        <w:rPr>
          <w:rFonts w:ascii="宋体" w:hAnsi="宋体"/>
          <w:szCs w:val="21"/>
        </w:rPr>
      </w:pPr>
      <w:r>
        <w:rPr>
          <w:rFonts w:hint="eastAsia" w:ascii="宋体" w:hAnsi="宋体"/>
          <w:szCs w:val="21"/>
        </w:rPr>
        <w:t>5、投标人应充分了解项目的位置、情况、道路及任何其它足以影响投标报价的情况，任何因忽视或误解项目情况而导致的索赔或服务期限延长申请将不获批准。</w:t>
      </w:r>
    </w:p>
    <w:p>
      <w:pPr>
        <w:keepNext w:val="0"/>
        <w:keepLines w:val="0"/>
        <w:pageBreakBefore w:val="0"/>
        <w:widowControl w:val="0"/>
        <w:kinsoku/>
        <w:wordWrap/>
        <w:overflowPunct/>
        <w:topLinePunct w:val="0"/>
        <w:autoSpaceDE/>
        <w:autoSpaceDN/>
        <w:bidi w:val="0"/>
        <w:adjustRightInd/>
        <w:snapToGrid/>
        <w:spacing w:line="360" w:lineRule="auto"/>
        <w:ind w:firstLine="392" w:firstLineChars="187"/>
        <w:textAlignment w:val="auto"/>
        <w:rPr>
          <w:rFonts w:ascii="宋体" w:hAnsi="宋体"/>
          <w:szCs w:val="21"/>
        </w:rPr>
      </w:pPr>
      <w:r>
        <w:rPr>
          <w:rFonts w:hint="eastAsia" w:ascii="宋体" w:hAnsi="宋体"/>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pPr>
        <w:spacing w:beforeLines="25" w:afterLines="25"/>
        <w:rPr>
          <w:rFonts w:ascii="宋体" w:hAnsi="宋体"/>
          <w:szCs w:val="21"/>
        </w:rPr>
      </w:pPr>
    </w:p>
    <w:p>
      <w:pPr>
        <w:rPr>
          <w:rFonts w:hint="eastAsia" w:ascii="宋体" w:hAnsi="宋体"/>
          <w:b/>
          <w:bCs/>
          <w:sz w:val="24"/>
          <w:szCs w:val="20"/>
        </w:rPr>
      </w:pPr>
      <w:r>
        <w:rPr>
          <w:rFonts w:hint="eastAsia" w:ascii="宋体" w:hAnsi="宋体"/>
          <w:b/>
          <w:bCs/>
          <w:sz w:val="24"/>
          <w:szCs w:val="20"/>
        </w:rPr>
        <w:br w:type="page"/>
      </w:r>
    </w:p>
    <w:p>
      <w:pPr>
        <w:keepNext/>
        <w:keepLines/>
        <w:adjustRightInd w:val="0"/>
        <w:spacing w:before="260" w:after="260"/>
        <w:jc w:val="center"/>
        <w:textAlignment w:val="baseline"/>
        <w:outlineLvl w:val="1"/>
        <w:rPr>
          <w:rFonts w:ascii="宋体" w:hAnsi="宋体"/>
          <w:b/>
          <w:bCs/>
          <w:sz w:val="24"/>
          <w:szCs w:val="20"/>
        </w:rPr>
      </w:pPr>
      <w:bookmarkStart w:id="84" w:name="_GoBack"/>
      <w:bookmarkEnd w:id="84"/>
      <w:r>
        <w:rPr>
          <w:rFonts w:hint="eastAsia" w:ascii="宋体" w:hAnsi="宋体"/>
          <w:b/>
          <w:bCs/>
          <w:sz w:val="24"/>
          <w:szCs w:val="20"/>
        </w:rPr>
        <w:t>第三章</w:t>
      </w:r>
      <w:r>
        <w:rPr>
          <w:rFonts w:ascii="宋体" w:hAnsi="宋体"/>
          <w:b/>
          <w:bCs/>
          <w:sz w:val="24"/>
          <w:szCs w:val="20"/>
        </w:rPr>
        <w:t xml:space="preserve"> </w:t>
      </w:r>
      <w:r>
        <w:rPr>
          <w:rFonts w:hint="eastAsia" w:ascii="宋体" w:hAnsi="宋体"/>
          <w:b/>
          <w:bCs/>
          <w:sz w:val="24"/>
          <w:szCs w:val="20"/>
        </w:rPr>
        <w:t xml:space="preserve"> 投标文件格式、附件</w:t>
      </w:r>
    </w:p>
    <w:p>
      <w:pPr>
        <w:rPr>
          <w:rFonts w:ascii="Times New Roman" w:hAnsi="Times New Roman"/>
          <w:b/>
          <w:bCs/>
          <w:sz w:val="24"/>
          <w:szCs w:val="32"/>
        </w:rPr>
      </w:pPr>
      <w:r>
        <w:rPr>
          <w:rFonts w:hint="eastAsia" w:ascii="Times New Roman" w:hAnsi="Times New Roman"/>
          <w:b/>
          <w:bCs/>
          <w:sz w:val="24"/>
          <w:szCs w:val="32"/>
        </w:rPr>
        <w:t>特别提醒：</w:t>
      </w:r>
    </w:p>
    <w:p>
      <w:pPr>
        <w:rPr>
          <w:rFonts w:ascii="Times New Roman" w:hAnsi="Times New Roman"/>
          <w:b/>
          <w:bCs/>
          <w:sz w:val="24"/>
          <w:szCs w:val="32"/>
        </w:rPr>
      </w:pPr>
    </w:p>
    <w:p>
      <w:pPr>
        <w:widowControl/>
        <w:ind w:firstLine="482" w:firstLineChars="200"/>
        <w:jc w:val="left"/>
        <w:rPr>
          <w:rFonts w:ascii="仿宋_GB2312" w:hAnsi="Times New Roman" w:eastAsia="仿宋_GB2312"/>
          <w:kern w:val="0"/>
          <w:sz w:val="24"/>
          <w:szCs w:val="24"/>
        </w:rPr>
      </w:pPr>
      <w:r>
        <w:rPr>
          <w:rFonts w:hint="eastAsia" w:ascii="仿宋_GB2312" w:hAnsi="Times New Roman" w:eastAsia="仿宋_GB2312"/>
          <w:b/>
          <w:kern w:val="0"/>
          <w:sz w:val="24"/>
          <w:szCs w:val="24"/>
        </w:rPr>
        <w:t>投标文件正文将对外公开，投标文件附件不公开。</w:t>
      </w:r>
      <w:r>
        <w:rPr>
          <w:rFonts w:hint="eastAsia" w:ascii="仿宋_GB2312" w:hAnsi="Times New Roman" w:eastAsia="仿宋_GB2312"/>
          <w:kern w:val="0"/>
          <w:sz w:val="24"/>
          <w:szCs w:val="24"/>
        </w:rPr>
        <w:t>投标人在编辑投标文件时，在投标文件目录中属于本节点内容的必须在本节点中填写，填写到其他节点或附件的将可能导致投标无效，一切后果由供应商自行承担。</w:t>
      </w:r>
    </w:p>
    <w:p>
      <w:pPr>
        <w:widowControl/>
        <w:jc w:val="left"/>
        <w:rPr>
          <w:rFonts w:ascii="仿宋_GB2312" w:hAnsi="Times New Roman" w:eastAsia="仿宋_GB2312"/>
          <w:kern w:val="0"/>
          <w:sz w:val="24"/>
          <w:szCs w:val="24"/>
        </w:rPr>
      </w:pPr>
      <w:r>
        <w:rPr>
          <w:rFonts w:hint="eastAsia" w:ascii="仿宋_GB2312" w:hAnsi="Times New Roman" w:eastAsia="仿宋_GB2312"/>
          <w:kern w:val="0"/>
          <w:sz w:val="24"/>
          <w:szCs w:val="24"/>
        </w:rPr>
        <w:t xml:space="preserve">    投标人应按招标文件规定的“投标文件组成”编制投标文件正文（信息公开部分）和投标文件附件（信息不公开部分），举例如下图：</w:t>
      </w:r>
    </w:p>
    <w:p>
      <w:pPr>
        <w:widowControl/>
        <w:jc w:val="center"/>
        <w:rPr>
          <w:rFonts w:ascii="宋体" w:hAnsi="宋体" w:cs="宋体" w:eastAsiaTheme="minorEastAsia"/>
          <w:kern w:val="0"/>
          <w:sz w:val="24"/>
          <w:szCs w:val="24"/>
          <w:highlight w:val="green"/>
        </w:rPr>
      </w:pPr>
      <w:r>
        <w:rPr>
          <w:rFonts w:ascii="仿宋_GB2312" w:hAnsi="Times New Roman" w:eastAsia="仿宋_GB2312"/>
          <w:kern w:val="0"/>
          <w:sz w:val="24"/>
          <w:szCs w:val="24"/>
          <w:highlight w:val="green"/>
        </w:rPr>
        <w:drawing>
          <wp:inline distT="0" distB="0" distL="0" distR="0">
            <wp:extent cx="5278755" cy="4126230"/>
            <wp:effectExtent l="0" t="0" r="0" b="0"/>
            <wp:docPr id="2"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图形用户界面, 应用程序&#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pPr>
        <w:widowControl/>
        <w:jc w:val="center"/>
        <w:rPr>
          <w:rFonts w:ascii="仿宋_GB2312" w:hAnsi="Times New Roman" w:eastAsia="仿宋_GB2312"/>
          <w:kern w:val="0"/>
          <w:sz w:val="24"/>
          <w:szCs w:val="24"/>
          <w:highlight w:val="green"/>
        </w:rPr>
      </w:pPr>
    </w:p>
    <w:p>
      <w:pPr>
        <w:widowControl/>
        <w:ind w:firstLine="480" w:firstLineChars="200"/>
        <w:jc w:val="left"/>
        <w:rPr>
          <w:rFonts w:ascii="仿宋_GB2312" w:hAnsi="Times New Roman" w:eastAsia="仿宋_GB2312"/>
          <w:b/>
          <w:kern w:val="0"/>
          <w:sz w:val="24"/>
          <w:szCs w:val="24"/>
        </w:rPr>
      </w:pPr>
      <w:bookmarkStart w:id="11" w:name="_Hlk72257167"/>
      <w:r>
        <w:rPr>
          <w:rFonts w:hint="eastAsia" w:ascii="仿宋_GB2312" w:hAnsi="Times New Roman" w:eastAsia="仿宋_GB2312"/>
          <w:kern w:val="0"/>
          <w:sz w:val="24"/>
          <w:szCs w:val="24"/>
        </w:rPr>
        <w:t>采购代理机构公布投标文件正文（信息公开部分）时为计算机截取信息自动公布，</w:t>
      </w:r>
      <w:r>
        <w:rPr>
          <w:rFonts w:hint="eastAsia" w:ascii="仿宋_GB2312" w:hAnsi="Times New Roman" w:eastAsia="仿宋_GB2312"/>
          <w:b/>
          <w:bCs/>
          <w:kern w:val="0"/>
          <w:sz w:val="24"/>
          <w:szCs w:val="24"/>
        </w:rPr>
        <w:t>如投标人误将涉及个人隐私或其他重要信息放入投标文件正文，相关后果由投标人自负；</w:t>
      </w:r>
      <w:r>
        <w:rPr>
          <w:rFonts w:hint="eastAsia" w:ascii="仿宋_GB2312" w:hAnsi="Times New Roman" w:eastAsia="仿宋_GB2312"/>
          <w:b/>
          <w:kern w:val="0"/>
          <w:sz w:val="24"/>
          <w:szCs w:val="24"/>
        </w:rPr>
        <w:t>如投标人将必须放于投标文件正文（信息公开部分）的内容放入投标文件附件（信息不公开部分），将作投标无效处理。</w:t>
      </w:r>
    </w:p>
    <w:bookmarkEnd w:id="11"/>
    <w:p>
      <w:pPr>
        <w:rPr>
          <w:rFonts w:ascii="仿宋_GB2312" w:hAnsi="Times New Roman" w:eastAsia="仿宋_GB2312"/>
          <w:sz w:val="24"/>
          <w:szCs w:val="24"/>
        </w:rPr>
      </w:pPr>
    </w:p>
    <w:p>
      <w:pPr>
        <w:rPr>
          <w:rFonts w:ascii="宋体" w:hAnsi="宋体"/>
          <w:sz w:val="24"/>
        </w:rPr>
      </w:pPr>
      <w:r>
        <w:rPr>
          <w:rFonts w:hint="eastAsia" w:ascii="宋体" w:hAnsi="宋体"/>
          <w:sz w:val="24"/>
        </w:rPr>
        <w:t>投标文件组成：</w:t>
      </w:r>
    </w:p>
    <w:p>
      <w:pPr>
        <w:ind w:firstLine="424" w:firstLineChars="202"/>
        <w:rPr>
          <w:rFonts w:ascii="宋体" w:hAnsi="宋体"/>
          <w:sz w:val="24"/>
        </w:rPr>
      </w:pPr>
      <w:r>
        <w:rPr>
          <w:rFonts w:hint="eastAsia" w:ascii="宋体" w:hAnsi="宋体"/>
        </w:rPr>
        <w:t>1.</w:t>
      </w:r>
      <w:r>
        <w:rPr>
          <w:rFonts w:hint="eastAsia" w:ascii="宋体" w:hAnsi="宋体"/>
          <w:b/>
        </w:rPr>
        <w:t>投标文件正文</w:t>
      </w:r>
      <w:r>
        <w:rPr>
          <w:rFonts w:hint="eastAsia" w:ascii="宋体" w:hAnsi="宋体"/>
          <w:b/>
          <w:szCs w:val="21"/>
        </w:rPr>
        <w:t>（信息公开部分）</w:t>
      </w:r>
      <w:r>
        <w:rPr>
          <w:rFonts w:hint="eastAsia" w:ascii="宋体" w:hAnsi="宋体"/>
        </w:rPr>
        <w:t>，主要</w:t>
      </w:r>
      <w:r>
        <w:rPr>
          <w:rFonts w:hint="eastAsia" w:ascii="宋体" w:hAnsi="宋体"/>
          <w:szCs w:val="21"/>
        </w:rPr>
        <w:t>包括以下内容：</w:t>
      </w:r>
    </w:p>
    <w:p>
      <w:pPr>
        <w:spacing w:beforeLines="25" w:afterLines="25"/>
        <w:ind w:firstLine="991" w:firstLineChars="472"/>
        <w:rPr>
          <w:rFonts w:ascii="宋体" w:hAnsi="宋体"/>
          <w:szCs w:val="21"/>
        </w:rPr>
      </w:pPr>
      <w:r>
        <w:rPr>
          <w:rFonts w:hint="eastAsia" w:ascii="宋体" w:hAnsi="宋体"/>
          <w:szCs w:val="21"/>
        </w:rPr>
        <w:t>（1）投标函</w:t>
      </w:r>
    </w:p>
    <w:p>
      <w:pPr>
        <w:spacing w:beforeLines="25" w:afterLines="25"/>
        <w:ind w:firstLine="991" w:firstLineChars="472"/>
        <w:rPr>
          <w:rFonts w:ascii="宋体" w:hAnsi="宋体"/>
          <w:szCs w:val="21"/>
        </w:rPr>
      </w:pPr>
      <w:r>
        <w:rPr>
          <w:rFonts w:hint="eastAsia" w:ascii="宋体" w:hAnsi="宋体"/>
          <w:szCs w:val="21"/>
        </w:rPr>
        <w:t>（2）资格响应文件</w:t>
      </w:r>
    </w:p>
    <w:p>
      <w:pPr>
        <w:spacing w:beforeLines="25" w:afterLines="25"/>
        <w:ind w:firstLine="991" w:firstLineChars="472"/>
        <w:rPr>
          <w:rFonts w:ascii="宋体" w:hAnsi="宋体"/>
          <w:szCs w:val="21"/>
        </w:rPr>
      </w:pPr>
      <w:r>
        <w:rPr>
          <w:rFonts w:hint="eastAsia" w:ascii="宋体" w:hAnsi="宋体"/>
          <w:szCs w:val="21"/>
        </w:rPr>
        <w:t>（3）投标人情况介绍</w:t>
      </w:r>
    </w:p>
    <w:p>
      <w:pPr>
        <w:spacing w:beforeLines="25" w:afterLines="25"/>
        <w:ind w:firstLine="991" w:firstLineChars="472"/>
        <w:rPr>
          <w:rFonts w:ascii="宋体" w:hAnsi="宋体"/>
          <w:szCs w:val="21"/>
        </w:rPr>
      </w:pPr>
      <w:r>
        <w:rPr>
          <w:rFonts w:hint="eastAsia" w:ascii="宋体" w:hAnsi="宋体"/>
          <w:szCs w:val="21"/>
        </w:rPr>
        <w:t>（4）中小企业声明函等符合政府采购扶持政策的证明材料</w:t>
      </w:r>
    </w:p>
    <w:p>
      <w:pPr>
        <w:rPr>
          <w:rFonts w:ascii="宋体" w:hAnsi="宋体"/>
          <w:sz w:val="24"/>
          <w:szCs w:val="24"/>
        </w:rPr>
      </w:pPr>
    </w:p>
    <w:p>
      <w:pPr>
        <w:ind w:firstLine="424" w:firstLineChars="202"/>
        <w:rPr>
          <w:rFonts w:ascii="宋体" w:hAnsi="宋体"/>
          <w:szCs w:val="21"/>
        </w:rPr>
      </w:pPr>
    </w:p>
    <w:p>
      <w:pPr>
        <w:ind w:firstLine="424" w:firstLineChars="202"/>
        <w:rPr>
          <w:rFonts w:ascii="宋体" w:hAnsi="宋体"/>
          <w:szCs w:val="21"/>
        </w:rPr>
      </w:pPr>
      <w:r>
        <w:rPr>
          <w:rFonts w:hint="eastAsia" w:ascii="宋体" w:hAnsi="宋体"/>
          <w:szCs w:val="21"/>
        </w:rPr>
        <w:t>2.</w:t>
      </w:r>
      <w:r>
        <w:rPr>
          <w:rFonts w:hint="eastAsia" w:ascii="宋体" w:hAnsi="宋体"/>
          <w:b/>
          <w:szCs w:val="21"/>
        </w:rPr>
        <w:t>投标文件附件（信息不公开部分）</w:t>
      </w:r>
      <w:r>
        <w:rPr>
          <w:rFonts w:hint="eastAsia" w:ascii="宋体" w:hAnsi="宋体"/>
          <w:szCs w:val="21"/>
        </w:rPr>
        <w:t>，主要包括以下内容：</w:t>
      </w:r>
    </w:p>
    <w:p>
      <w:pPr>
        <w:spacing w:beforeLines="25" w:afterLines="25"/>
        <w:ind w:firstLine="991" w:firstLineChars="472"/>
        <w:rPr>
          <w:rFonts w:ascii="宋体" w:hAnsi="宋体"/>
          <w:szCs w:val="21"/>
        </w:rPr>
      </w:pPr>
      <w:r>
        <w:rPr>
          <w:rFonts w:hint="eastAsia" w:ascii="宋体" w:hAnsi="宋体"/>
          <w:szCs w:val="21"/>
        </w:rPr>
        <w:t>（5）政府采购违法行为风险知悉确认书</w:t>
      </w:r>
    </w:p>
    <w:p>
      <w:pPr>
        <w:spacing w:beforeLines="25" w:afterLines="25"/>
        <w:ind w:firstLine="991" w:firstLineChars="472"/>
        <w:rPr>
          <w:rFonts w:ascii="宋体" w:hAnsi="宋体"/>
          <w:szCs w:val="21"/>
        </w:rPr>
      </w:pPr>
      <w:r>
        <w:rPr>
          <w:rFonts w:hint="eastAsia" w:ascii="宋体" w:hAnsi="宋体"/>
          <w:szCs w:val="21"/>
        </w:rPr>
        <w:t>（6）法定代表人（负责人）资格证明书</w:t>
      </w:r>
    </w:p>
    <w:p>
      <w:pPr>
        <w:spacing w:beforeLines="25" w:afterLines="25"/>
        <w:ind w:firstLine="991" w:firstLineChars="472"/>
        <w:rPr>
          <w:rFonts w:ascii="宋体" w:hAnsi="宋体"/>
          <w:szCs w:val="21"/>
        </w:rPr>
      </w:pPr>
      <w:r>
        <w:rPr>
          <w:rFonts w:hint="eastAsia" w:ascii="宋体" w:hAnsi="宋体"/>
          <w:szCs w:val="21"/>
        </w:rPr>
        <w:t>（7）投标文件签署授权委托书</w:t>
      </w:r>
    </w:p>
    <w:p>
      <w:pPr>
        <w:spacing w:beforeLines="25" w:afterLines="25"/>
        <w:ind w:firstLine="991" w:firstLineChars="472"/>
        <w:rPr>
          <w:rFonts w:ascii="宋体" w:hAnsi="宋体"/>
          <w:szCs w:val="21"/>
        </w:rPr>
      </w:pPr>
      <w:r>
        <w:rPr>
          <w:rFonts w:hint="eastAsia" w:ascii="宋体" w:hAnsi="宋体"/>
          <w:szCs w:val="21"/>
        </w:rPr>
        <w:t>（8）实质性条款响应情况表</w:t>
      </w:r>
    </w:p>
    <w:p>
      <w:pPr>
        <w:spacing w:beforeLines="25" w:afterLines="25"/>
        <w:ind w:firstLine="991" w:firstLineChars="472"/>
        <w:rPr>
          <w:rFonts w:ascii="宋体" w:hAnsi="宋体"/>
          <w:szCs w:val="21"/>
        </w:rPr>
      </w:pPr>
      <w:r>
        <w:rPr>
          <w:rFonts w:hint="eastAsia" w:ascii="宋体" w:hAnsi="宋体"/>
          <w:szCs w:val="21"/>
        </w:rPr>
        <w:t>（9）详细分项报价清单</w:t>
      </w:r>
    </w:p>
    <w:p>
      <w:pPr>
        <w:spacing w:beforeLines="25" w:afterLines="25"/>
        <w:ind w:firstLine="991" w:firstLineChars="472"/>
        <w:rPr>
          <w:rFonts w:ascii="宋体" w:hAnsi="宋体"/>
          <w:szCs w:val="21"/>
        </w:rPr>
      </w:pPr>
      <w:r>
        <w:rPr>
          <w:rFonts w:hint="eastAsia" w:ascii="宋体" w:hAnsi="宋体"/>
          <w:szCs w:val="21"/>
        </w:rPr>
        <w:t>（10）服务要求</w:t>
      </w:r>
      <w:r>
        <w:rPr>
          <w:rFonts w:ascii="宋体" w:hAnsi="宋体"/>
          <w:szCs w:val="21"/>
        </w:rPr>
        <w:t>偏离表</w:t>
      </w:r>
    </w:p>
    <w:p>
      <w:pPr>
        <w:spacing w:beforeLines="25" w:afterLines="25"/>
        <w:ind w:firstLine="991" w:firstLineChars="472"/>
        <w:rPr>
          <w:rFonts w:ascii="宋体" w:hAnsi="宋体"/>
          <w:szCs w:val="21"/>
        </w:rPr>
      </w:pPr>
      <w:r>
        <w:rPr>
          <w:rFonts w:hint="eastAsia" w:ascii="宋体" w:hAnsi="宋体"/>
          <w:szCs w:val="21"/>
        </w:rPr>
        <w:t>（11）</w:t>
      </w:r>
      <w:r>
        <w:rPr>
          <w:rFonts w:ascii="宋体" w:hAnsi="宋体"/>
          <w:szCs w:val="21"/>
        </w:rPr>
        <w:t>商务</w:t>
      </w:r>
      <w:r>
        <w:rPr>
          <w:rFonts w:hint="eastAsia" w:ascii="宋体" w:hAnsi="宋体"/>
          <w:szCs w:val="21"/>
        </w:rPr>
        <w:t>要求</w:t>
      </w:r>
      <w:r>
        <w:rPr>
          <w:rFonts w:ascii="宋体" w:hAnsi="宋体"/>
          <w:szCs w:val="21"/>
        </w:rPr>
        <w:t>偏离表</w:t>
      </w:r>
    </w:p>
    <w:p>
      <w:pPr>
        <w:spacing w:beforeLines="25" w:afterLines="25"/>
        <w:ind w:firstLine="991" w:firstLineChars="472"/>
        <w:rPr>
          <w:rFonts w:asciiTheme="minorEastAsia" w:hAnsiTheme="minorEastAsia" w:eastAsiaTheme="minorEastAsia"/>
          <w:szCs w:val="21"/>
        </w:rPr>
      </w:pPr>
      <w:r>
        <w:rPr>
          <w:rFonts w:hint="eastAsia" w:ascii="宋体" w:hAnsi="宋体"/>
          <w:szCs w:val="21"/>
        </w:rPr>
        <w:t>（12）标准体系框架</w:t>
      </w:r>
    </w:p>
    <w:p>
      <w:pPr>
        <w:spacing w:beforeLines="25" w:afterLines="25"/>
        <w:ind w:firstLine="991" w:firstLineChars="472"/>
        <w:rPr>
          <w:rFonts w:ascii="宋体" w:hAnsi="宋体"/>
          <w:szCs w:val="21"/>
        </w:rPr>
      </w:pPr>
      <w:r>
        <w:rPr>
          <w:rFonts w:hint="eastAsia" w:ascii="宋体" w:hAnsi="宋体"/>
          <w:szCs w:val="21"/>
        </w:rPr>
        <w:t>（13）质量保障措施及方案</w:t>
      </w:r>
    </w:p>
    <w:p>
      <w:pPr>
        <w:spacing w:beforeLines="25" w:afterLines="25"/>
        <w:ind w:firstLine="991" w:firstLineChars="472"/>
        <w:rPr>
          <w:rFonts w:ascii="宋体" w:hAnsi="宋体"/>
          <w:szCs w:val="21"/>
        </w:rPr>
      </w:pPr>
      <w:r>
        <w:rPr>
          <w:rFonts w:hint="eastAsia" w:ascii="宋体" w:hAnsi="宋体"/>
          <w:szCs w:val="21"/>
        </w:rPr>
        <w:t>（14）投标人国际标准注册专家</w:t>
      </w:r>
    </w:p>
    <w:p>
      <w:pPr>
        <w:spacing w:beforeLines="25" w:afterLines="25"/>
        <w:ind w:firstLine="991" w:firstLineChars="472"/>
        <w:rPr>
          <w:rFonts w:ascii="宋体" w:hAnsi="宋体"/>
          <w:szCs w:val="21"/>
        </w:rPr>
      </w:pPr>
      <w:r>
        <w:rPr>
          <w:rFonts w:hint="eastAsia" w:ascii="宋体" w:hAnsi="宋体"/>
          <w:szCs w:val="21"/>
        </w:rPr>
        <w:t>（15）投标人</w:t>
      </w:r>
      <w:r>
        <w:rPr>
          <w:rFonts w:hint="eastAsia" w:ascii="宋体" w:hAnsi="宋体"/>
          <w:szCs w:val="21"/>
          <w:lang w:val="en-US" w:eastAsia="zh-CN"/>
        </w:rPr>
        <w:t>参与</w:t>
      </w:r>
      <w:r>
        <w:rPr>
          <w:rFonts w:hint="eastAsia" w:ascii="宋体" w:hAnsi="宋体"/>
          <w:szCs w:val="21"/>
        </w:rPr>
        <w:t>智能网联汽车相关国际、国家或地方标准</w:t>
      </w:r>
    </w:p>
    <w:p>
      <w:pPr>
        <w:spacing w:beforeLines="25" w:afterLines="25"/>
        <w:ind w:firstLine="991" w:firstLineChars="472"/>
        <w:rPr>
          <w:rFonts w:ascii="宋体" w:hAnsi="宋体"/>
          <w:szCs w:val="21"/>
        </w:rPr>
      </w:pPr>
      <w:r>
        <w:rPr>
          <w:rFonts w:hint="eastAsia" w:ascii="宋体" w:hAnsi="宋体"/>
          <w:szCs w:val="21"/>
        </w:rPr>
        <w:t>（16）项目经理（仅限1人）和项目团队成员（项目经理除外）</w:t>
      </w:r>
    </w:p>
    <w:p>
      <w:pPr>
        <w:spacing w:beforeLines="25" w:afterLines="25"/>
        <w:ind w:firstLine="991" w:firstLineChars="472"/>
        <w:rPr>
          <w:rFonts w:ascii="宋体" w:hAnsi="宋体"/>
          <w:szCs w:val="21"/>
        </w:rPr>
      </w:pPr>
      <w:r>
        <w:rPr>
          <w:rFonts w:hint="eastAsia" w:ascii="宋体" w:hAnsi="宋体"/>
          <w:szCs w:val="21"/>
        </w:rPr>
        <w:t>（17）投标人行业资质</w:t>
      </w:r>
    </w:p>
    <w:p>
      <w:pPr>
        <w:spacing w:beforeLines="25" w:afterLines="25"/>
        <w:ind w:firstLine="991" w:firstLineChars="472"/>
        <w:rPr>
          <w:rFonts w:ascii="宋体" w:hAnsi="宋体"/>
          <w:szCs w:val="21"/>
        </w:rPr>
      </w:pPr>
      <w:r>
        <w:rPr>
          <w:rFonts w:hint="eastAsia" w:ascii="宋体" w:hAnsi="宋体"/>
          <w:szCs w:val="21"/>
        </w:rPr>
        <w:t>（18）投标人获奖情况</w:t>
      </w:r>
    </w:p>
    <w:p>
      <w:pPr>
        <w:spacing w:beforeLines="25" w:afterLines="25"/>
        <w:ind w:firstLine="991" w:firstLineChars="472"/>
        <w:rPr>
          <w:rFonts w:ascii="宋体" w:hAnsi="宋体"/>
          <w:szCs w:val="21"/>
        </w:rPr>
      </w:pPr>
      <w:r>
        <w:rPr>
          <w:rFonts w:hint="eastAsia" w:ascii="宋体" w:hAnsi="宋体"/>
          <w:szCs w:val="21"/>
        </w:rPr>
        <w:t>（19）投标人自主知识产权产品（创新、设计）情况</w:t>
      </w:r>
    </w:p>
    <w:p>
      <w:pPr>
        <w:spacing w:beforeLines="25" w:afterLines="25"/>
        <w:ind w:firstLine="991" w:firstLineChars="472"/>
        <w:rPr>
          <w:rFonts w:ascii="宋体" w:hAnsi="宋体"/>
          <w:szCs w:val="21"/>
        </w:rPr>
      </w:pPr>
      <w:r>
        <w:rPr>
          <w:rFonts w:hint="eastAsia" w:ascii="宋体" w:hAnsi="宋体"/>
          <w:szCs w:val="21"/>
        </w:rPr>
        <w:t>（20）诚信承诺函</w:t>
      </w:r>
    </w:p>
    <w:p>
      <w:pPr>
        <w:spacing w:beforeLines="25" w:afterLines="25"/>
        <w:ind w:firstLine="991" w:firstLineChars="472"/>
        <w:rPr>
          <w:rFonts w:ascii="宋体" w:hAnsi="宋体"/>
          <w:szCs w:val="21"/>
        </w:rPr>
      </w:pPr>
      <w:r>
        <w:rPr>
          <w:rFonts w:hint="eastAsia" w:ascii="宋体" w:hAnsi="宋体"/>
          <w:szCs w:val="21"/>
        </w:rPr>
        <w:t>（21）招标文件要求的其它内容或投标人认为需要补充的资料</w:t>
      </w:r>
    </w:p>
    <w:p>
      <w:pPr>
        <w:spacing w:beforeLines="25" w:afterLines="25"/>
        <w:rPr>
          <w:rFonts w:ascii="宋体" w:hAnsi="宋体"/>
          <w:szCs w:val="21"/>
        </w:rPr>
      </w:pPr>
    </w:p>
    <w:p>
      <w:pPr>
        <w:widowControl/>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备注：</w:t>
      </w:r>
    </w:p>
    <w:p>
      <w:pPr>
        <w:widowControl/>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1.本项目为网上电子投标项目，投标文件不需法人或授权委托人另行签字，无需加盖单位公章，招标文件专用条款另有规定的除外。</w:t>
      </w:r>
    </w:p>
    <w:p>
      <w:pPr>
        <w:widowControl/>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2.关于填写“开标一览表”的说明：“开标一览表”中除“投标报价”外，其他信息不作为评审依据。</w:t>
      </w:r>
    </w:p>
    <w:p>
      <w:pPr>
        <w:widowControl/>
        <w:jc w:val="left"/>
        <w:rPr>
          <w:rFonts w:ascii="宋体" w:hAnsi="宋体"/>
          <w:szCs w:val="21"/>
        </w:rPr>
      </w:pPr>
      <w:r>
        <w:rPr>
          <w:rFonts w:ascii="宋体" w:hAnsi="宋体"/>
          <w:szCs w:val="21"/>
        </w:rPr>
        <w:br w:type="page"/>
      </w:r>
    </w:p>
    <w:p>
      <w:pPr>
        <w:rPr>
          <w:rFonts w:ascii="仿宋_GB2312" w:hAnsi="Times New Roman" w:eastAsia="仿宋_GB2312"/>
          <w:b/>
          <w:color w:val="FF0000"/>
          <w:sz w:val="30"/>
          <w:szCs w:val="30"/>
        </w:rPr>
      </w:pPr>
      <w:r>
        <w:rPr>
          <w:rFonts w:hint="eastAsia" w:ascii="仿宋_GB2312" w:hAnsi="Times New Roman" w:eastAsia="仿宋_GB2312"/>
          <w:b/>
          <w:color w:val="FF0000"/>
          <w:sz w:val="30"/>
          <w:szCs w:val="30"/>
        </w:rPr>
        <w:t>投标文件正文（信息公开部分）：</w:t>
      </w:r>
    </w:p>
    <w:p>
      <w:pPr>
        <w:pStyle w:val="5"/>
        <w:jc w:val="center"/>
        <w:rPr>
          <w:rFonts w:ascii="黑体" w:eastAsia="黑体"/>
          <w:b w:val="0"/>
          <w:sz w:val="24"/>
        </w:rPr>
      </w:pPr>
      <w:r>
        <w:rPr>
          <w:rFonts w:hint="eastAsia" w:ascii="黑体" w:eastAsia="黑体"/>
          <w:b w:val="0"/>
          <w:sz w:val="24"/>
        </w:rPr>
        <w:t>一、投标函</w:t>
      </w:r>
    </w:p>
    <w:p>
      <w:pPr>
        <w:spacing w:line="360" w:lineRule="auto"/>
        <w:rPr>
          <w:rFonts w:ascii="宋体" w:hAnsi="宋体"/>
          <w:szCs w:val="21"/>
        </w:rPr>
      </w:pPr>
      <w:r>
        <w:rPr>
          <w:rFonts w:hint="eastAsia" w:ascii="宋体" w:hAnsi="宋体"/>
          <w:szCs w:val="21"/>
        </w:rPr>
        <w:t xml:space="preserve">深圳市中正招标有限公司：  </w:t>
      </w:r>
    </w:p>
    <w:p>
      <w:pPr>
        <w:spacing w:afterLines="50"/>
        <w:ind w:firstLine="420" w:firstLineChars="200"/>
        <w:rPr>
          <w:szCs w:val="21"/>
        </w:rPr>
      </w:pPr>
      <w:r>
        <w:rPr>
          <w:rFonts w:hint="eastAsia"/>
          <w:szCs w:val="21"/>
        </w:rPr>
        <w:t>1.根据已收到贵方的（项目编号为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方经研究上述招标文件的专用条款及通用条款后，愿以投标书编制软件中《开标一览表》中填写的投标报价并按招标文件要求承包上述项目并修补其任何缺陷。</w:t>
      </w:r>
    </w:p>
    <w:p>
      <w:pPr>
        <w:spacing w:afterLines="50"/>
        <w:ind w:firstLine="420" w:firstLineChars="200"/>
        <w:rPr>
          <w:szCs w:val="21"/>
        </w:rPr>
      </w:pPr>
      <w:r>
        <w:rPr>
          <w:szCs w:val="21"/>
        </w:rPr>
        <w:t>2</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Lines="50"/>
        <w:ind w:firstLine="411" w:firstLineChars="196"/>
        <w:rPr>
          <w:rFonts w:ascii="宋体" w:hAnsi="宋体"/>
          <w:szCs w:val="21"/>
        </w:rPr>
      </w:pPr>
      <w:r>
        <w:rPr>
          <w:rFonts w:hint="eastAsia" w:ascii="宋体" w:hAnsi="宋体"/>
          <w:szCs w:val="21"/>
        </w:rPr>
        <w:t>3.我方同意所递交的投标文件在“对通用条款的补充内容”中的投标有效期内有效，在此期间内我方的投标有可能中标，我方将受此约束。</w:t>
      </w:r>
    </w:p>
    <w:p>
      <w:pPr>
        <w:spacing w:afterLines="50"/>
        <w:ind w:firstLine="411" w:firstLineChars="196"/>
        <w:rPr>
          <w:rFonts w:ascii="宋体" w:hAnsi="宋体"/>
          <w:szCs w:val="21"/>
        </w:rPr>
      </w:pPr>
      <w:r>
        <w:rPr>
          <w:rFonts w:hint="eastAsia" w:ascii="宋体" w:hAnsi="宋体"/>
          <w:szCs w:val="21"/>
        </w:rPr>
        <w:t>4.除非另外达成协议并生效，贵方的中标通知书和本投标文件将构成约束我们双方的合同。</w:t>
      </w:r>
    </w:p>
    <w:p>
      <w:pPr>
        <w:spacing w:afterLines="50"/>
        <w:ind w:firstLine="411" w:firstLineChars="196"/>
        <w:rPr>
          <w:rFonts w:ascii="宋体" w:hAnsi="宋体"/>
          <w:szCs w:val="21"/>
        </w:rPr>
      </w:pPr>
      <w:r>
        <w:rPr>
          <w:rFonts w:hint="eastAsia" w:ascii="宋体" w:hAnsi="宋体"/>
          <w:szCs w:val="21"/>
        </w:rPr>
        <w:t>5.我方理解贵方将不受必须接受你们所收到的最低标价或其它任何投标文件的约束。</w:t>
      </w:r>
    </w:p>
    <w:p>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传真：</w:t>
      </w:r>
      <w:r>
        <w:rPr>
          <w:rFonts w:hint="eastAsia"/>
          <w:szCs w:val="21"/>
          <w:u w:val="single"/>
        </w:rPr>
        <w:t xml:space="preserve">            </w:t>
      </w:r>
    </w:p>
    <w:p>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pPr>
        <w:ind w:firstLine="616" w:firstLineChars="257"/>
        <w:rPr>
          <w:sz w:val="24"/>
        </w:rPr>
      </w:pPr>
    </w:p>
    <w:p>
      <w:pPr>
        <w:rPr>
          <w:rFonts w:ascii="宋体" w:hAnsi="宋体"/>
          <w:szCs w:val="21"/>
        </w:rPr>
      </w:pPr>
      <w:r>
        <w:rPr>
          <w:rFonts w:hint="eastAsia"/>
          <w:szCs w:val="21"/>
          <w:u w:val="single"/>
        </w:rPr>
        <w:t>（备注：如联合体投标，投标人一栏仅需填写牵头人的名称）</w:t>
      </w:r>
    </w:p>
    <w:p>
      <w:pPr>
        <w:ind w:firstLine="616" w:firstLineChars="257"/>
        <w:rPr>
          <w:sz w:val="24"/>
        </w:rPr>
      </w:pPr>
      <w:r>
        <w:rPr>
          <w:rFonts w:hint="eastAsia"/>
          <w:sz w:val="24"/>
        </w:rPr>
        <w:t xml:space="preserve">                          </w:t>
      </w:r>
    </w:p>
    <w:p>
      <w:pPr>
        <w:spacing w:afterLines="50"/>
        <w:ind w:firstLine="411" w:firstLineChars="196"/>
        <w:rPr>
          <w:rFonts w:ascii="宋体" w:hAnsi="宋体"/>
          <w:szCs w:val="21"/>
        </w:rPr>
      </w:pPr>
    </w:p>
    <w:p>
      <w:pPr>
        <w:pStyle w:val="5"/>
        <w:jc w:val="center"/>
        <w:rPr>
          <w:rFonts w:ascii="黑体" w:eastAsia="黑体"/>
          <w:b w:val="0"/>
          <w:sz w:val="24"/>
        </w:rPr>
      </w:pPr>
      <w:r>
        <w:rPr>
          <w:rFonts w:hint="eastAsia" w:ascii="黑体" w:eastAsia="黑体"/>
          <w:b w:val="0"/>
          <w:sz w:val="24"/>
        </w:rPr>
        <w:t>二、资格响应文件</w:t>
      </w: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ascii="Times New Roman" w:hAnsi="宋体"/>
          <w:szCs w:val="21"/>
        </w:rPr>
        <w:t>等证明材料</w:t>
      </w:r>
      <w:r>
        <w:rPr>
          <w:rFonts w:hint="eastAsia" w:ascii="宋体" w:hAnsi="宋体"/>
          <w:bCs/>
          <w:snapToGrid w:val="0"/>
          <w:kern w:val="0"/>
          <w:szCs w:val="21"/>
        </w:rPr>
        <w:t>（扫描件）</w:t>
      </w:r>
    </w:p>
    <w:p>
      <w:pPr>
        <w:adjustRightInd w:val="0"/>
        <w:snapToGrid w:val="0"/>
        <w:spacing w:line="360" w:lineRule="auto"/>
        <w:ind w:firstLine="424" w:firstLineChars="202"/>
        <w:rPr>
          <w:rFonts w:ascii="宋体" w:hAnsi="宋体"/>
          <w:szCs w:val="24"/>
        </w:rPr>
      </w:pPr>
      <w:r>
        <w:rPr>
          <w:rFonts w:hint="eastAsia" w:ascii="宋体" w:hAnsi="宋体"/>
          <w:bCs/>
          <w:snapToGrid w:val="0"/>
          <w:kern w:val="0"/>
          <w:szCs w:val="21"/>
        </w:rPr>
        <w:t>2、</w:t>
      </w:r>
      <w:r>
        <w:rPr>
          <w:rFonts w:hint="eastAsia" w:ascii="Times New Roman" w:hAnsi="Times New Roman"/>
          <w:szCs w:val="21"/>
        </w:rPr>
        <w:t>政府采购投标及履约承诺函</w:t>
      </w:r>
    </w:p>
    <w:p>
      <w:pPr>
        <w:adjustRightInd w:val="0"/>
        <w:snapToGrid w:val="0"/>
        <w:spacing w:line="360" w:lineRule="auto"/>
        <w:ind w:firstLine="424" w:firstLineChars="202"/>
        <w:rPr>
          <w:rFonts w:ascii="宋体" w:hAnsi="宋体"/>
          <w:szCs w:val="24"/>
        </w:rPr>
      </w:pPr>
      <w:r>
        <w:rPr>
          <w:rFonts w:hint="eastAsia" w:ascii="宋体" w:hAnsi="宋体"/>
          <w:szCs w:val="24"/>
        </w:rPr>
        <w:t>3、其它资格证明材料（如有，按招标公告“申请人的资格要求”提供）</w:t>
      </w:r>
    </w:p>
    <w:p>
      <w:pPr>
        <w:rPr>
          <w:szCs w:val="21"/>
          <w:u w:val="single"/>
        </w:rPr>
      </w:pPr>
    </w:p>
    <w:p>
      <w:pPr>
        <w:rPr>
          <w:rFonts w:ascii="宋体" w:hAnsi="宋体"/>
          <w:szCs w:val="21"/>
        </w:rPr>
      </w:pPr>
      <w:r>
        <w:rPr>
          <w:rFonts w:hint="eastAsia"/>
          <w:szCs w:val="21"/>
          <w:u w:val="single"/>
        </w:rPr>
        <w:t>（备注：如联合体投标，联合体各方均应按要求提供资格响应文件）</w:t>
      </w:r>
    </w:p>
    <w:p>
      <w:pPr>
        <w:pStyle w:val="5"/>
        <w:jc w:val="center"/>
        <w:rPr>
          <w:rFonts w:ascii="黑体" w:eastAsia="黑体"/>
          <w:b w:val="0"/>
          <w:sz w:val="24"/>
        </w:rPr>
      </w:pPr>
    </w:p>
    <w:p>
      <w:pPr>
        <w:rPr>
          <w:rFonts w:hint="eastAsia" w:ascii="黑体" w:eastAsia="黑体"/>
          <w:b w:val="0"/>
          <w:sz w:val="24"/>
        </w:rPr>
      </w:pPr>
      <w:r>
        <w:rPr>
          <w:rFonts w:hint="eastAsia" w:ascii="黑体" w:eastAsia="黑体"/>
          <w:b w:val="0"/>
          <w:sz w:val="24"/>
        </w:rPr>
        <w:br w:type="page"/>
      </w:r>
    </w:p>
    <w:p>
      <w:pPr>
        <w:pStyle w:val="5"/>
        <w:jc w:val="center"/>
        <w:rPr>
          <w:rFonts w:ascii="黑体" w:eastAsia="黑体"/>
          <w:b w:val="0"/>
          <w:sz w:val="24"/>
        </w:rPr>
      </w:pPr>
      <w:r>
        <w:rPr>
          <w:rFonts w:hint="eastAsia" w:ascii="黑体" w:eastAsia="黑体"/>
          <w:b w:val="0"/>
          <w:sz w:val="24"/>
        </w:rPr>
        <w:t>政府采购投标及履约承诺函</w:t>
      </w:r>
    </w:p>
    <w:p>
      <w:pPr>
        <w:rPr>
          <w:rFonts w:ascii="宋体" w:hAnsi="宋体"/>
          <w:szCs w:val="21"/>
        </w:rPr>
      </w:pPr>
      <w:r>
        <w:rPr>
          <w:rFonts w:hint="eastAsia" w:ascii="宋体" w:hAnsi="宋体"/>
          <w:szCs w:val="21"/>
        </w:rPr>
        <w:t>深圳市中正招标有限公司：</w:t>
      </w:r>
    </w:p>
    <w:p>
      <w:pPr>
        <w:ind w:right="-815" w:firstLine="420" w:firstLineChars="200"/>
        <w:rPr>
          <w:rFonts w:ascii="宋体" w:hAnsi="宋体"/>
          <w:szCs w:val="21"/>
        </w:rPr>
      </w:pPr>
      <w:r>
        <w:rPr>
          <w:rFonts w:hint="eastAsia" w:ascii="宋体" w:hAnsi="宋体"/>
          <w:szCs w:val="21"/>
        </w:rPr>
        <w:t>我单位承诺：</w:t>
      </w:r>
    </w:p>
    <w:p>
      <w:pPr>
        <w:ind w:firstLine="424" w:firstLineChars="202"/>
        <w:rPr>
          <w:rFonts w:ascii="宋体" w:hAnsi="宋体"/>
          <w:szCs w:val="21"/>
        </w:rPr>
      </w:pPr>
      <w:r>
        <w:rPr>
          <w:rFonts w:hint="eastAsia" w:ascii="宋体" w:hAnsi="宋体"/>
          <w:szCs w:val="21"/>
        </w:rPr>
        <w:t>1.我单位满足《中华人民共和国政府采购法》第二十二条规定的条件。</w:t>
      </w:r>
    </w:p>
    <w:p>
      <w:pPr>
        <w:ind w:firstLine="424" w:firstLineChars="202"/>
        <w:rPr>
          <w:rFonts w:ascii="宋体" w:hAnsi="宋体"/>
          <w:szCs w:val="21"/>
        </w:rPr>
      </w:pPr>
      <w:r>
        <w:rPr>
          <w:rFonts w:hint="eastAsia" w:ascii="宋体" w:hAnsi="宋体"/>
          <w:szCs w:val="21"/>
        </w:rPr>
        <w:t>2.我单位参与本项目投标前三年内，在经营活动中没有重大违法记录。</w:t>
      </w:r>
    </w:p>
    <w:p>
      <w:pPr>
        <w:ind w:firstLine="424" w:firstLineChars="202"/>
        <w:rPr>
          <w:rFonts w:ascii="宋体" w:hAnsi="宋体"/>
          <w:szCs w:val="21"/>
        </w:rPr>
      </w:pPr>
      <w:r>
        <w:rPr>
          <w:rFonts w:hint="eastAsia" w:ascii="宋体" w:hAnsi="宋体"/>
          <w:szCs w:val="21"/>
        </w:rPr>
        <w:t>3.我单位参与本项目政府采购活动时不存在被有关部门禁止参与政府采购活动且在有效期内的情况；与其他投标供应商不存在“单位负责人为同一人或者存在直接控股、管理关系”的情况；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ascii="宋体" w:hAnsi="宋体"/>
          <w:szCs w:val="21"/>
        </w:rPr>
        <w:t>。</w:t>
      </w:r>
    </w:p>
    <w:p>
      <w:pPr>
        <w:ind w:firstLine="424" w:firstLineChars="202"/>
        <w:rPr>
          <w:rFonts w:ascii="宋体" w:hAnsi="宋体"/>
          <w:szCs w:val="21"/>
        </w:rPr>
      </w:pPr>
      <w:r>
        <w:rPr>
          <w:rFonts w:hint="eastAsia" w:ascii="宋体" w:hAnsi="宋体"/>
          <w:szCs w:val="21"/>
        </w:rPr>
        <w:t>4.我单位承诺不非法转包或分包。</w:t>
      </w:r>
    </w:p>
    <w:p>
      <w:pPr>
        <w:ind w:firstLine="424" w:firstLineChars="202"/>
        <w:rPr>
          <w:rFonts w:ascii="宋体" w:hAnsi="宋体"/>
          <w:szCs w:val="21"/>
        </w:rPr>
      </w:pPr>
      <w:r>
        <w:rPr>
          <w:rFonts w:hint="eastAsia" w:ascii="宋体" w:hAnsi="宋体"/>
          <w:szCs w:val="21"/>
        </w:rPr>
        <w:t>5.我单位本招标项目所提供的货物或服务未侵犯知识产权。</w:t>
      </w:r>
    </w:p>
    <w:p>
      <w:pPr>
        <w:ind w:firstLine="424" w:firstLineChars="202"/>
        <w:rPr>
          <w:rFonts w:ascii="宋体" w:hAnsi="宋体"/>
          <w:szCs w:val="21"/>
        </w:rPr>
      </w:pPr>
      <w:r>
        <w:rPr>
          <w:rFonts w:hint="eastAsia" w:ascii="宋体" w:hAnsi="宋体"/>
          <w:szCs w:val="21"/>
        </w:rPr>
        <w:t>6.我单位参与该项目投标，严格遵循公平竞争的原则，不妨碍其他投标人的竞争行为，不损害采购人或者其他投标人的合法权益，与其他采购参加人不存在下列串通投标情形：</w:t>
      </w:r>
    </w:p>
    <w:p>
      <w:pPr>
        <w:ind w:firstLine="424" w:firstLineChars="202"/>
        <w:rPr>
          <w:rFonts w:ascii="宋体" w:hAnsi="宋体"/>
          <w:szCs w:val="21"/>
        </w:rPr>
      </w:pPr>
      <w:r>
        <w:rPr>
          <w:rFonts w:hint="eastAsia" w:ascii="宋体" w:hAnsi="宋体"/>
          <w:szCs w:val="21"/>
        </w:rPr>
        <w:t>（1）投标供应商之间相互约定给予未中标的供应商利益补偿；</w:t>
      </w:r>
    </w:p>
    <w:p>
      <w:pPr>
        <w:ind w:firstLine="424" w:firstLineChars="202"/>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pPr>
        <w:ind w:firstLine="424" w:firstLineChars="202"/>
        <w:rPr>
          <w:rFonts w:ascii="宋体" w:hAnsi="宋体"/>
          <w:szCs w:val="21"/>
        </w:rPr>
      </w:pPr>
      <w:r>
        <w:rPr>
          <w:rFonts w:hint="eastAsia" w:ascii="宋体" w:hAnsi="宋体"/>
          <w:szCs w:val="21"/>
        </w:rPr>
        <w:t>（3）不同投标供应商的投标文件由同一单位或者同一人编制，或者由同一人分阶段参与编制的；</w:t>
      </w:r>
    </w:p>
    <w:p>
      <w:pPr>
        <w:ind w:firstLine="424" w:firstLineChars="202"/>
        <w:rPr>
          <w:rFonts w:ascii="宋体" w:hAnsi="宋体"/>
          <w:szCs w:val="21"/>
        </w:rPr>
      </w:pPr>
      <w:r>
        <w:rPr>
          <w:rFonts w:hint="eastAsia" w:ascii="宋体" w:hAnsi="宋体"/>
          <w:szCs w:val="21"/>
        </w:rPr>
        <w:t>（4）不同投标供应商的投标文件或部分投标文件相互混装；</w:t>
      </w:r>
    </w:p>
    <w:p>
      <w:pPr>
        <w:ind w:firstLine="424" w:firstLineChars="202"/>
        <w:rPr>
          <w:rFonts w:ascii="宋体" w:hAnsi="宋体"/>
          <w:szCs w:val="21"/>
        </w:rPr>
      </w:pPr>
      <w:r>
        <w:rPr>
          <w:rFonts w:hint="eastAsia" w:ascii="宋体" w:hAnsi="宋体"/>
          <w:szCs w:val="21"/>
        </w:rPr>
        <w:t>（5）不同投标供应商的投标文件内容存在非正常一致；</w:t>
      </w:r>
    </w:p>
    <w:p>
      <w:pPr>
        <w:ind w:firstLine="424" w:firstLineChars="202"/>
        <w:rPr>
          <w:rFonts w:ascii="宋体" w:hAnsi="宋体"/>
          <w:szCs w:val="21"/>
        </w:rPr>
      </w:pPr>
      <w:r>
        <w:rPr>
          <w:rFonts w:hint="eastAsia" w:ascii="宋体" w:hAnsi="宋体"/>
          <w:szCs w:val="21"/>
        </w:rPr>
        <w:t>（6）由同一单位工作人员为两家以上（含两家）供应商进行同一项投标活动的；</w:t>
      </w:r>
    </w:p>
    <w:p>
      <w:pPr>
        <w:ind w:firstLine="424" w:firstLineChars="202"/>
        <w:rPr>
          <w:rFonts w:ascii="宋体" w:hAnsi="宋体"/>
          <w:szCs w:val="21"/>
        </w:rPr>
      </w:pPr>
      <w:r>
        <w:rPr>
          <w:rFonts w:hint="eastAsia" w:ascii="宋体" w:hAnsi="宋体"/>
          <w:szCs w:val="21"/>
        </w:rPr>
        <w:t>（7）主管部门依照法律、法规认定的其他情形。</w:t>
      </w:r>
    </w:p>
    <w:p>
      <w:pPr>
        <w:ind w:firstLine="424" w:firstLineChars="202"/>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ind w:firstLine="424" w:firstLineChars="202"/>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4" w:firstLineChars="202"/>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4" w:firstLineChars="202"/>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ind w:firstLine="424" w:firstLineChars="202"/>
        <w:rPr>
          <w:rFonts w:ascii="宋体" w:hAnsi="宋体"/>
          <w:szCs w:val="21"/>
        </w:rPr>
      </w:pPr>
      <w:r>
        <w:rPr>
          <w:rFonts w:hint="eastAsia" w:ascii="宋体" w:hAnsi="宋体"/>
          <w:szCs w:val="21"/>
        </w:rPr>
        <w:t>以上承诺，如有违反，愿依照相关法律法规处理，并承担由此给采购人带来的损失。</w:t>
      </w:r>
    </w:p>
    <w:p>
      <w:pPr>
        <w:ind w:firstLine="424" w:firstLineChars="202"/>
        <w:rPr>
          <w:rFonts w:ascii="宋体" w:hAnsi="宋体"/>
          <w:szCs w:val="21"/>
        </w:rPr>
      </w:pPr>
    </w:p>
    <w:p>
      <w:pPr>
        <w:jc w:val="center"/>
      </w:pPr>
      <w:r>
        <w:rPr>
          <w:rFonts w:hint="eastAsia"/>
          <w:szCs w:val="21"/>
        </w:rPr>
        <w:t xml:space="preserve">                             投标人：</w:t>
      </w:r>
    </w:p>
    <w:p>
      <w:pPr>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ind w:firstLine="424" w:firstLineChars="202"/>
        <w:rPr>
          <w:rFonts w:ascii="宋体" w:hAnsi="宋体"/>
          <w:szCs w:val="21"/>
        </w:rPr>
      </w:pPr>
    </w:p>
    <w:p/>
    <w:p>
      <w:pPr>
        <w:rPr>
          <w:rFonts w:ascii="宋体" w:hAnsi="宋体"/>
          <w:szCs w:val="21"/>
        </w:rPr>
      </w:pPr>
      <w:r>
        <w:rPr>
          <w:rFonts w:hint="eastAsia"/>
          <w:szCs w:val="21"/>
          <w:u w:val="single"/>
        </w:rPr>
        <w:t>（备注：如联合体投标，投标人一栏需填写联合体双方的名称）</w:t>
      </w:r>
    </w:p>
    <w:p/>
    <w:p>
      <w:pPr>
        <w:rPr>
          <w:rFonts w:hint="eastAsia" w:ascii="黑体" w:hAnsi="宋体" w:eastAsia="黑体"/>
          <w:bCs/>
          <w:kern w:val="0"/>
          <w:sz w:val="24"/>
          <w:szCs w:val="32"/>
        </w:rPr>
      </w:pPr>
      <w:r>
        <w:rPr>
          <w:rFonts w:hint="eastAsia" w:ascii="黑体" w:hAnsi="宋体" w:eastAsia="黑体"/>
          <w:bCs/>
          <w:kern w:val="0"/>
          <w:sz w:val="24"/>
          <w:szCs w:val="32"/>
        </w:rPr>
        <w:br w:type="page"/>
      </w:r>
    </w:p>
    <w:p>
      <w:pPr>
        <w:pStyle w:val="5"/>
        <w:jc w:val="center"/>
        <w:rPr>
          <w:rFonts w:ascii="黑体" w:eastAsia="黑体"/>
          <w:b w:val="0"/>
          <w:sz w:val="24"/>
        </w:rPr>
      </w:pPr>
      <w:r>
        <w:rPr>
          <w:rFonts w:hint="eastAsia" w:ascii="黑体" w:eastAsia="黑体"/>
          <w:b w:val="0"/>
          <w:sz w:val="24"/>
        </w:rPr>
        <w:t>三、投标人情况介绍</w:t>
      </w:r>
    </w:p>
    <w:tbl>
      <w:tblPr>
        <w:tblStyle w:val="43"/>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59"/>
        <w:gridCol w:w="4432"/>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after="60"/>
              <w:jc w:val="center"/>
              <w:rPr>
                <w:rFonts w:ascii="宋体" w:hAnsi="宋体"/>
                <w:b/>
                <w:szCs w:val="21"/>
              </w:rPr>
            </w:pPr>
            <w:r>
              <w:rPr>
                <w:rFonts w:hint="eastAsia" w:ascii="宋体" w:hAnsi="宋体"/>
                <w:b/>
                <w:szCs w:val="21"/>
              </w:rPr>
              <w:t>序号</w:t>
            </w:r>
          </w:p>
        </w:tc>
        <w:tc>
          <w:tcPr>
            <w:tcW w:w="2559" w:type="dxa"/>
          </w:tcPr>
          <w:p>
            <w:pPr>
              <w:spacing w:after="60"/>
              <w:jc w:val="center"/>
              <w:rPr>
                <w:rFonts w:ascii="宋体" w:hAnsi="宋体"/>
                <w:b/>
                <w:szCs w:val="21"/>
              </w:rPr>
            </w:pPr>
            <w:r>
              <w:rPr>
                <w:rFonts w:hint="eastAsia" w:ascii="宋体" w:hAnsi="宋体"/>
                <w:b/>
                <w:szCs w:val="21"/>
              </w:rPr>
              <w:t>项</w:t>
            </w:r>
            <w:r>
              <w:rPr>
                <w:rFonts w:ascii="宋体" w:hAnsi="宋体"/>
                <w:b/>
                <w:szCs w:val="21"/>
              </w:rPr>
              <w:t xml:space="preserve">  </w:t>
            </w:r>
            <w:r>
              <w:rPr>
                <w:rFonts w:hint="eastAsia" w:ascii="宋体" w:hAnsi="宋体"/>
                <w:b/>
                <w:szCs w:val="21"/>
              </w:rPr>
              <w:t>目</w:t>
            </w:r>
          </w:p>
        </w:tc>
        <w:tc>
          <w:tcPr>
            <w:tcW w:w="4432" w:type="dxa"/>
            <w:vAlign w:val="center"/>
          </w:tcPr>
          <w:p>
            <w:pPr>
              <w:spacing w:after="60"/>
              <w:jc w:val="center"/>
              <w:rPr>
                <w:rFonts w:ascii="宋体" w:hAnsi="宋体"/>
                <w:b/>
                <w:szCs w:val="21"/>
              </w:rPr>
            </w:pPr>
            <w:r>
              <w:rPr>
                <w:rFonts w:hint="eastAsia" w:ascii="宋体" w:hAnsi="宋体"/>
                <w:b/>
                <w:szCs w:val="21"/>
              </w:rPr>
              <w:t>内容及说明</w:t>
            </w:r>
          </w:p>
        </w:tc>
        <w:tc>
          <w:tcPr>
            <w:tcW w:w="1411" w:type="dxa"/>
            <w:vAlign w:val="center"/>
          </w:tcPr>
          <w:p>
            <w:pPr>
              <w:spacing w:after="60"/>
              <w:jc w:val="center"/>
              <w:rPr>
                <w:rFonts w:ascii="宋体" w:hAnsi="宋体"/>
                <w:b/>
                <w:szCs w:val="21"/>
              </w:rPr>
            </w:pPr>
            <w:r>
              <w:rPr>
                <w:rFonts w:hint="eastAsia" w:ascii="宋体" w:hAnsi="宋体"/>
                <w:b/>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after="60"/>
              <w:jc w:val="center"/>
              <w:rPr>
                <w:rFonts w:ascii="宋体" w:hAnsi="宋体"/>
                <w:b/>
                <w:szCs w:val="21"/>
              </w:rPr>
            </w:pPr>
            <w:r>
              <w:rPr>
                <w:rFonts w:hint="eastAsia" w:ascii="宋体" w:hAnsi="宋体"/>
                <w:b/>
                <w:szCs w:val="21"/>
              </w:rPr>
              <w:t>一</w:t>
            </w:r>
          </w:p>
        </w:tc>
        <w:tc>
          <w:tcPr>
            <w:tcW w:w="6991" w:type="dxa"/>
            <w:gridSpan w:val="2"/>
          </w:tcPr>
          <w:p>
            <w:pPr>
              <w:spacing w:after="60"/>
              <w:rPr>
                <w:rFonts w:ascii="宋体" w:hAnsi="宋体"/>
                <w:b/>
                <w:szCs w:val="21"/>
              </w:rPr>
            </w:pPr>
            <w:r>
              <w:rPr>
                <w:rFonts w:hint="eastAsia" w:ascii="宋体" w:hAnsi="宋体"/>
                <w:b/>
                <w:szCs w:val="21"/>
              </w:rPr>
              <w:t>营业执照</w:t>
            </w:r>
          </w:p>
        </w:tc>
        <w:tc>
          <w:tcPr>
            <w:tcW w:w="1411" w:type="dxa"/>
            <w:vAlign w:val="center"/>
          </w:tcPr>
          <w:p>
            <w:pPr>
              <w:spacing w:after="6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after="60"/>
              <w:jc w:val="center"/>
              <w:rPr>
                <w:rFonts w:ascii="宋体" w:hAnsi="宋体"/>
                <w:szCs w:val="21"/>
              </w:rPr>
            </w:pPr>
            <w:r>
              <w:rPr>
                <w:rFonts w:ascii="宋体" w:hAnsi="宋体"/>
                <w:szCs w:val="21"/>
              </w:rPr>
              <w:t>1</w:t>
            </w:r>
          </w:p>
        </w:tc>
        <w:tc>
          <w:tcPr>
            <w:tcW w:w="2559" w:type="dxa"/>
            <w:vAlign w:val="center"/>
          </w:tcPr>
          <w:p>
            <w:pPr>
              <w:spacing w:after="60"/>
              <w:jc w:val="center"/>
              <w:rPr>
                <w:rFonts w:ascii="宋体" w:hAnsi="宋体"/>
                <w:szCs w:val="21"/>
              </w:rPr>
            </w:pPr>
            <w:r>
              <w:rPr>
                <w:rFonts w:hint="eastAsia" w:ascii="宋体" w:hAnsi="宋体"/>
                <w:szCs w:val="21"/>
              </w:rPr>
              <w:t>注册年度及注册编号</w:t>
            </w:r>
          </w:p>
        </w:tc>
        <w:tc>
          <w:tcPr>
            <w:tcW w:w="4432" w:type="dxa"/>
            <w:vAlign w:val="center"/>
          </w:tcPr>
          <w:p>
            <w:pPr>
              <w:spacing w:after="60"/>
              <w:rPr>
                <w:rFonts w:ascii="宋体" w:hAnsi="宋体"/>
                <w:szCs w:val="21"/>
              </w:rPr>
            </w:pPr>
          </w:p>
        </w:tc>
        <w:tc>
          <w:tcPr>
            <w:tcW w:w="1411" w:type="dxa"/>
            <w:vAlign w:val="center"/>
          </w:tcPr>
          <w:p>
            <w:pPr>
              <w:spacing w:after="6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after="60"/>
              <w:jc w:val="center"/>
              <w:rPr>
                <w:rFonts w:ascii="宋体" w:hAnsi="宋体"/>
                <w:szCs w:val="21"/>
              </w:rPr>
            </w:pPr>
            <w:r>
              <w:rPr>
                <w:rFonts w:ascii="宋体" w:hAnsi="宋体"/>
                <w:szCs w:val="21"/>
              </w:rPr>
              <w:t>2</w:t>
            </w:r>
          </w:p>
        </w:tc>
        <w:tc>
          <w:tcPr>
            <w:tcW w:w="2559" w:type="dxa"/>
            <w:vAlign w:val="center"/>
          </w:tcPr>
          <w:p>
            <w:pPr>
              <w:spacing w:after="60"/>
              <w:jc w:val="center"/>
              <w:rPr>
                <w:rFonts w:ascii="宋体" w:hAnsi="宋体"/>
                <w:szCs w:val="21"/>
              </w:rPr>
            </w:pPr>
            <w:r>
              <w:rPr>
                <w:rFonts w:hint="eastAsia" w:ascii="宋体" w:hAnsi="宋体"/>
                <w:szCs w:val="21"/>
              </w:rPr>
              <w:t>注册资金（万元）</w:t>
            </w:r>
          </w:p>
        </w:tc>
        <w:tc>
          <w:tcPr>
            <w:tcW w:w="4432" w:type="dxa"/>
            <w:vAlign w:val="center"/>
          </w:tcPr>
          <w:p>
            <w:pPr>
              <w:spacing w:after="60"/>
              <w:rPr>
                <w:rFonts w:ascii="宋体" w:hAnsi="宋体"/>
                <w:szCs w:val="21"/>
              </w:rPr>
            </w:pPr>
          </w:p>
        </w:tc>
        <w:tc>
          <w:tcPr>
            <w:tcW w:w="1411" w:type="dxa"/>
            <w:vAlign w:val="center"/>
          </w:tcPr>
          <w:p>
            <w:pPr>
              <w:spacing w:after="6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after="60"/>
              <w:jc w:val="center"/>
              <w:rPr>
                <w:rFonts w:ascii="宋体" w:hAnsi="宋体"/>
                <w:szCs w:val="21"/>
              </w:rPr>
            </w:pPr>
            <w:r>
              <w:rPr>
                <w:rFonts w:hint="eastAsia" w:ascii="宋体" w:hAnsi="宋体"/>
                <w:szCs w:val="21"/>
              </w:rPr>
              <w:t>3</w:t>
            </w:r>
          </w:p>
        </w:tc>
        <w:tc>
          <w:tcPr>
            <w:tcW w:w="2559" w:type="dxa"/>
            <w:vAlign w:val="center"/>
          </w:tcPr>
          <w:p>
            <w:pPr>
              <w:spacing w:after="60"/>
              <w:jc w:val="center"/>
              <w:rPr>
                <w:rFonts w:ascii="宋体" w:hAnsi="宋体"/>
                <w:szCs w:val="21"/>
              </w:rPr>
            </w:pPr>
            <w:r>
              <w:rPr>
                <w:rFonts w:hint="eastAsia" w:ascii="宋体" w:hAnsi="宋体"/>
                <w:szCs w:val="21"/>
              </w:rPr>
              <w:t>法定代表人</w:t>
            </w:r>
          </w:p>
        </w:tc>
        <w:tc>
          <w:tcPr>
            <w:tcW w:w="4432" w:type="dxa"/>
            <w:vAlign w:val="center"/>
          </w:tcPr>
          <w:p>
            <w:pPr>
              <w:spacing w:after="60"/>
              <w:rPr>
                <w:rFonts w:ascii="宋体" w:hAnsi="宋体"/>
                <w:szCs w:val="21"/>
              </w:rPr>
            </w:pPr>
          </w:p>
        </w:tc>
        <w:tc>
          <w:tcPr>
            <w:tcW w:w="1411" w:type="dxa"/>
            <w:vAlign w:val="center"/>
          </w:tcPr>
          <w:p>
            <w:pPr>
              <w:spacing w:after="6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after="60"/>
              <w:jc w:val="center"/>
              <w:rPr>
                <w:rFonts w:ascii="宋体" w:hAnsi="宋体"/>
                <w:szCs w:val="21"/>
              </w:rPr>
            </w:pPr>
            <w:r>
              <w:rPr>
                <w:rFonts w:hint="eastAsia" w:ascii="宋体" w:hAnsi="宋体"/>
                <w:szCs w:val="21"/>
              </w:rPr>
              <w:t>4</w:t>
            </w:r>
          </w:p>
        </w:tc>
        <w:tc>
          <w:tcPr>
            <w:tcW w:w="2559" w:type="dxa"/>
            <w:vAlign w:val="center"/>
          </w:tcPr>
          <w:p>
            <w:pPr>
              <w:spacing w:after="60"/>
              <w:jc w:val="center"/>
              <w:rPr>
                <w:rFonts w:ascii="宋体" w:hAnsi="宋体"/>
                <w:szCs w:val="21"/>
              </w:rPr>
            </w:pPr>
            <w:r>
              <w:rPr>
                <w:rFonts w:hint="eastAsia" w:ascii="宋体" w:hAnsi="宋体"/>
                <w:szCs w:val="21"/>
              </w:rPr>
              <w:t>住所地</w:t>
            </w:r>
          </w:p>
        </w:tc>
        <w:tc>
          <w:tcPr>
            <w:tcW w:w="4432" w:type="dxa"/>
            <w:vAlign w:val="center"/>
          </w:tcPr>
          <w:p>
            <w:pPr>
              <w:spacing w:after="60"/>
              <w:rPr>
                <w:rFonts w:ascii="宋体" w:hAnsi="宋体"/>
                <w:szCs w:val="21"/>
              </w:rPr>
            </w:pPr>
          </w:p>
        </w:tc>
        <w:tc>
          <w:tcPr>
            <w:tcW w:w="1411" w:type="dxa"/>
            <w:vAlign w:val="center"/>
          </w:tcPr>
          <w:p>
            <w:pPr>
              <w:spacing w:after="6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after="60"/>
              <w:jc w:val="center"/>
              <w:rPr>
                <w:rFonts w:ascii="宋体" w:hAnsi="宋体"/>
                <w:szCs w:val="21"/>
              </w:rPr>
            </w:pPr>
            <w:r>
              <w:rPr>
                <w:rFonts w:hint="eastAsia" w:ascii="宋体" w:hAnsi="宋体"/>
                <w:szCs w:val="21"/>
              </w:rPr>
              <w:t>5</w:t>
            </w:r>
          </w:p>
        </w:tc>
        <w:tc>
          <w:tcPr>
            <w:tcW w:w="2559" w:type="dxa"/>
            <w:vAlign w:val="center"/>
          </w:tcPr>
          <w:p>
            <w:pPr>
              <w:spacing w:after="60"/>
              <w:jc w:val="center"/>
              <w:rPr>
                <w:rFonts w:ascii="宋体" w:hAnsi="宋体"/>
                <w:szCs w:val="21"/>
              </w:rPr>
            </w:pPr>
            <w:r>
              <w:rPr>
                <w:rFonts w:hint="eastAsia" w:ascii="宋体" w:hAnsi="宋体"/>
                <w:szCs w:val="21"/>
              </w:rPr>
              <w:t>经营范围</w:t>
            </w:r>
          </w:p>
        </w:tc>
        <w:tc>
          <w:tcPr>
            <w:tcW w:w="4432" w:type="dxa"/>
            <w:vAlign w:val="center"/>
          </w:tcPr>
          <w:p>
            <w:pPr>
              <w:spacing w:after="60"/>
              <w:rPr>
                <w:rFonts w:ascii="宋体" w:hAnsi="宋体"/>
                <w:szCs w:val="21"/>
              </w:rPr>
            </w:pPr>
          </w:p>
        </w:tc>
        <w:tc>
          <w:tcPr>
            <w:tcW w:w="1411" w:type="dxa"/>
            <w:vAlign w:val="center"/>
          </w:tcPr>
          <w:p>
            <w:pPr>
              <w:spacing w:after="6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after="60"/>
              <w:jc w:val="center"/>
              <w:rPr>
                <w:rFonts w:ascii="宋体" w:hAnsi="宋体"/>
                <w:szCs w:val="21"/>
              </w:rPr>
            </w:pPr>
            <w:r>
              <w:rPr>
                <w:rFonts w:hint="eastAsia" w:ascii="宋体" w:hAnsi="宋体"/>
                <w:szCs w:val="21"/>
              </w:rPr>
              <w:t>6</w:t>
            </w:r>
          </w:p>
        </w:tc>
        <w:tc>
          <w:tcPr>
            <w:tcW w:w="2559" w:type="dxa"/>
            <w:vAlign w:val="center"/>
          </w:tcPr>
          <w:p>
            <w:pPr>
              <w:spacing w:after="60"/>
              <w:jc w:val="center"/>
              <w:rPr>
                <w:rFonts w:ascii="宋体" w:hAnsi="宋体"/>
                <w:szCs w:val="21"/>
              </w:rPr>
            </w:pPr>
            <w:r>
              <w:rPr>
                <w:rFonts w:hint="eastAsia" w:ascii="宋体" w:hAnsi="宋体"/>
                <w:szCs w:val="21"/>
              </w:rPr>
              <w:t>开户银行及账号</w:t>
            </w:r>
          </w:p>
        </w:tc>
        <w:tc>
          <w:tcPr>
            <w:tcW w:w="4432" w:type="dxa"/>
            <w:vAlign w:val="center"/>
          </w:tcPr>
          <w:p>
            <w:pPr>
              <w:spacing w:after="60"/>
              <w:rPr>
                <w:rFonts w:ascii="宋体" w:hAnsi="宋体"/>
                <w:szCs w:val="21"/>
              </w:rPr>
            </w:pPr>
          </w:p>
        </w:tc>
        <w:tc>
          <w:tcPr>
            <w:tcW w:w="1411" w:type="dxa"/>
            <w:vAlign w:val="center"/>
          </w:tcPr>
          <w:p>
            <w:pPr>
              <w:spacing w:after="6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after="60"/>
              <w:jc w:val="center"/>
              <w:rPr>
                <w:rFonts w:ascii="宋体" w:hAnsi="宋体"/>
                <w:szCs w:val="21"/>
              </w:rPr>
            </w:pPr>
            <w:r>
              <w:rPr>
                <w:rFonts w:hint="eastAsia" w:ascii="宋体" w:hAnsi="宋体"/>
                <w:szCs w:val="21"/>
              </w:rPr>
              <w:t>7</w:t>
            </w:r>
          </w:p>
        </w:tc>
        <w:tc>
          <w:tcPr>
            <w:tcW w:w="2559" w:type="dxa"/>
            <w:vAlign w:val="center"/>
          </w:tcPr>
          <w:p>
            <w:pPr>
              <w:spacing w:after="60"/>
              <w:jc w:val="center"/>
              <w:rPr>
                <w:rFonts w:ascii="宋体" w:hAnsi="宋体"/>
                <w:szCs w:val="21"/>
              </w:rPr>
            </w:pPr>
            <w:r>
              <w:rPr>
                <w:rFonts w:hint="eastAsia" w:ascii="宋体" w:hAnsi="宋体"/>
                <w:szCs w:val="21"/>
              </w:rPr>
              <w:t>联系方式</w:t>
            </w:r>
          </w:p>
        </w:tc>
        <w:tc>
          <w:tcPr>
            <w:tcW w:w="4432" w:type="dxa"/>
            <w:vAlign w:val="center"/>
          </w:tcPr>
          <w:p>
            <w:pPr>
              <w:spacing w:after="60"/>
              <w:rPr>
                <w:rFonts w:ascii="宋体" w:hAnsi="宋体"/>
                <w:szCs w:val="21"/>
              </w:rPr>
            </w:pPr>
          </w:p>
        </w:tc>
        <w:tc>
          <w:tcPr>
            <w:tcW w:w="1411" w:type="dxa"/>
            <w:vAlign w:val="center"/>
          </w:tcPr>
          <w:p>
            <w:pPr>
              <w:spacing w:after="6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after="60"/>
              <w:jc w:val="center"/>
              <w:rPr>
                <w:rFonts w:ascii="宋体" w:hAnsi="宋体"/>
                <w:b/>
                <w:szCs w:val="21"/>
              </w:rPr>
            </w:pPr>
            <w:r>
              <w:rPr>
                <w:rFonts w:hint="eastAsia" w:ascii="宋体" w:hAnsi="宋体"/>
                <w:b/>
                <w:szCs w:val="21"/>
              </w:rPr>
              <w:t>二</w:t>
            </w:r>
          </w:p>
        </w:tc>
        <w:tc>
          <w:tcPr>
            <w:tcW w:w="2559" w:type="dxa"/>
            <w:vAlign w:val="center"/>
          </w:tcPr>
          <w:p>
            <w:pPr>
              <w:spacing w:after="60"/>
              <w:jc w:val="left"/>
              <w:rPr>
                <w:rFonts w:ascii="宋体" w:hAnsi="宋体"/>
                <w:b/>
                <w:szCs w:val="21"/>
              </w:rPr>
            </w:pPr>
            <w:r>
              <w:rPr>
                <w:rFonts w:hint="eastAsia" w:ascii="宋体" w:hAnsi="宋体"/>
                <w:b/>
                <w:szCs w:val="21"/>
              </w:rPr>
              <w:t>其他材料</w:t>
            </w:r>
          </w:p>
        </w:tc>
        <w:tc>
          <w:tcPr>
            <w:tcW w:w="4432" w:type="dxa"/>
            <w:vAlign w:val="center"/>
          </w:tcPr>
          <w:p>
            <w:pPr>
              <w:spacing w:after="60"/>
              <w:rPr>
                <w:rFonts w:ascii="宋体" w:hAnsi="宋体"/>
                <w:szCs w:val="21"/>
              </w:rPr>
            </w:pPr>
          </w:p>
        </w:tc>
        <w:tc>
          <w:tcPr>
            <w:tcW w:w="1411" w:type="dxa"/>
            <w:vAlign w:val="center"/>
          </w:tcPr>
          <w:p>
            <w:pPr>
              <w:spacing w:after="60"/>
              <w:jc w:val="center"/>
              <w:rPr>
                <w:rFonts w:ascii="宋体" w:hAnsi="宋体"/>
                <w:szCs w:val="21"/>
              </w:rPr>
            </w:pPr>
          </w:p>
        </w:tc>
      </w:tr>
    </w:tbl>
    <w:p>
      <w:pPr>
        <w:spacing w:line="360" w:lineRule="exact"/>
        <w:rPr>
          <w:bCs/>
          <w:szCs w:val="21"/>
        </w:rPr>
      </w:pPr>
      <w:r>
        <w:rPr>
          <w:rFonts w:hint="eastAsia"/>
          <w:bCs/>
          <w:szCs w:val="21"/>
        </w:rPr>
        <w:t>注：供应商应填写上述表格内容，并可根据自身情况自行对表格内容进行补充和完善。</w:t>
      </w:r>
    </w:p>
    <w:p>
      <w:pPr>
        <w:ind w:left="632" w:hanging="632" w:hangingChars="300"/>
        <w:rPr>
          <w:b/>
          <w:bCs/>
        </w:rPr>
      </w:pPr>
    </w:p>
    <w:p>
      <w:pPr>
        <w:ind w:left="632" w:hanging="632" w:hangingChars="300"/>
        <w:rPr>
          <w:b/>
          <w:bCs/>
        </w:rPr>
      </w:pPr>
    </w:p>
    <w:p>
      <w:pPr>
        <w:ind w:left="632" w:hanging="632" w:hangingChars="300"/>
        <w:rPr>
          <w:b/>
          <w:bCs/>
        </w:rPr>
      </w:pPr>
    </w:p>
    <w:p>
      <w:pPr>
        <w:jc w:val="center"/>
        <w:outlineLvl w:val="3"/>
        <w:rPr>
          <w:rFonts w:ascii="黑体" w:hAnsi="宋体" w:eastAsia="黑体"/>
          <w:bCs/>
          <w:kern w:val="0"/>
          <w:sz w:val="24"/>
          <w:szCs w:val="32"/>
        </w:rPr>
      </w:pPr>
      <w:r>
        <w:rPr>
          <w:rFonts w:hint="eastAsia" w:ascii="黑体" w:hAnsi="宋体" w:eastAsia="黑体"/>
          <w:bCs/>
          <w:kern w:val="0"/>
          <w:sz w:val="24"/>
          <w:szCs w:val="32"/>
        </w:rPr>
        <w:t>四、中小企业声明函等符合政府采购扶持政策的证明材料</w:t>
      </w:r>
    </w:p>
    <w:p>
      <w:pPr>
        <w:jc w:val="left"/>
        <w:outlineLvl w:val="3"/>
        <w:rPr>
          <w:rFonts w:ascii="黑体" w:hAnsi="宋体" w:eastAsia="黑体"/>
          <w:bCs/>
          <w:kern w:val="0"/>
          <w:sz w:val="24"/>
          <w:szCs w:val="32"/>
        </w:rPr>
      </w:pPr>
    </w:p>
    <w:p>
      <w:pPr>
        <w:widowControl/>
        <w:snapToGrid w:val="0"/>
        <w:spacing w:line="360" w:lineRule="auto"/>
        <w:jc w:val="left"/>
        <w:outlineLvl w:val="4"/>
        <w:rPr>
          <w:rFonts w:ascii="仿宋" w:hAnsi="仿宋" w:eastAsia="仿宋"/>
          <w:b/>
          <w:bCs/>
          <w:kern w:val="0"/>
          <w:sz w:val="25"/>
          <w:szCs w:val="25"/>
        </w:rPr>
      </w:pPr>
      <w:r>
        <w:rPr>
          <w:rFonts w:hint="eastAsia" w:ascii="仿宋" w:hAnsi="仿宋" w:eastAsia="仿宋"/>
          <w:b/>
          <w:bCs/>
          <w:kern w:val="0"/>
          <w:sz w:val="25"/>
          <w:szCs w:val="25"/>
        </w:rPr>
        <w:t>填写指引：</w:t>
      </w:r>
    </w:p>
    <w:p>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12" w:name="_Hlk71925120"/>
      <w:r>
        <w:rPr>
          <w:rFonts w:hint="eastAsia" w:asciiTheme="minorEastAsia" w:hAnsiTheme="minorEastAsia" w:eastAsiaTheme="minorEastAsia"/>
          <w:kern w:val="0"/>
          <w:szCs w:val="21"/>
        </w:rPr>
        <w:t>《关于印发中小企业划型标准规定的通知》（工信部联企业〔2011〕300 号</w:t>
      </w:r>
      <w:bookmarkEnd w:id="12"/>
      <w:r>
        <w:rPr>
          <w:rFonts w:hint="eastAsia" w:asciiTheme="minorEastAsia" w:hAnsiTheme="minorEastAsia" w:eastAsiaTheme="minorEastAsia"/>
          <w:kern w:val="0"/>
          <w:szCs w:val="21"/>
        </w:rPr>
        <w:t>）</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3、请依照招标文件提供的格式和内容填写声明函，不要随意变更格式；声明函不需要盖章或签字；满足多项优惠政策的投标人，不重复享受多项价格扣除政策。</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w:t>
      </w:r>
      <w:r>
        <w:rPr>
          <w:rFonts w:hint="eastAsia" w:asciiTheme="minorEastAsia" w:hAnsiTheme="minorEastAsia" w:eastAsiaTheme="minorEastAsia"/>
          <w:b/>
          <w:color w:val="FF0000"/>
          <w:kern w:val="0"/>
          <w:szCs w:val="21"/>
        </w:rPr>
        <w:t>采购标的（货物或服务或工程）的具体名称</w:t>
      </w:r>
      <w:r>
        <w:rPr>
          <w:rFonts w:hint="eastAsia" w:asciiTheme="minorEastAsia" w:hAnsiTheme="minorEastAsia" w:eastAsiaTheme="minorEastAsia"/>
          <w:b/>
          <w:bCs/>
          <w:color w:val="FF0000"/>
          <w:kern w:val="0"/>
          <w:szCs w:val="21"/>
        </w:rPr>
        <w:t>（具体详见第二章招标项目需求，如涉及多项标的，投标人需逐项进行响应）</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w:t>
      </w:r>
      <w:r>
        <w:rPr>
          <w:rFonts w:hint="eastAsia" w:asciiTheme="minorEastAsia" w:hAnsiTheme="minorEastAsia" w:eastAsiaTheme="minorEastAsia"/>
          <w:b/>
          <w:color w:val="FF0000"/>
          <w:kern w:val="0"/>
          <w:szCs w:val="21"/>
        </w:rPr>
        <w:t>采购文件规定的本项目所属行业</w:t>
      </w:r>
      <w:r>
        <w:rPr>
          <w:rFonts w:hint="eastAsia" w:asciiTheme="minorEastAsia" w:hAnsiTheme="minorEastAsia" w:eastAsiaTheme="minorEastAsia"/>
          <w:b/>
          <w:bCs/>
          <w:color w:val="FF0000"/>
          <w:kern w:val="0"/>
          <w:szCs w:val="21"/>
        </w:rPr>
        <w:t>（详见其它关键信息）</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p>
    <w:p>
      <w:pPr>
        <w:widowControl/>
        <w:snapToGrid w:val="0"/>
        <w:spacing w:line="360" w:lineRule="auto"/>
        <w:jc w:val="left"/>
        <w:rPr>
          <w:rFonts w:ascii="Times New Roman" w:hAnsi="Times New Roman"/>
          <w:b/>
          <w:bCs/>
          <w:szCs w:val="24"/>
        </w:rPr>
      </w:pPr>
      <w:r>
        <w:rPr>
          <w:rFonts w:hint="eastAsia" w:asciiTheme="minorEastAsia" w:hAnsiTheme="minorEastAsia" w:eastAsiaTheme="minorEastAsia"/>
          <w:kern w:val="0"/>
          <w:szCs w:val="21"/>
        </w:rPr>
        <w:t xml:space="preserve">    </w:t>
      </w:r>
    </w:p>
    <w:p>
      <w:pPr>
        <w:jc w:val="center"/>
        <w:outlineLvl w:val="3"/>
        <w:rPr>
          <w:rFonts w:ascii="黑体" w:hAnsi="宋体" w:eastAsia="黑体"/>
          <w:bCs/>
          <w:kern w:val="0"/>
          <w:sz w:val="24"/>
          <w:szCs w:val="32"/>
        </w:rPr>
      </w:pPr>
    </w:p>
    <w:p>
      <w:pPr>
        <w:spacing w:after="60"/>
        <w:jc w:val="center"/>
        <w:outlineLvl w:val="3"/>
        <w:rPr>
          <w:b/>
          <w:sz w:val="24"/>
        </w:rPr>
      </w:pPr>
      <w:r>
        <w:rPr>
          <w:rFonts w:hint="eastAsia"/>
          <w:b/>
          <w:sz w:val="24"/>
        </w:rPr>
        <w:t>1、中小企业声明函</w:t>
      </w:r>
    </w:p>
    <w:p>
      <w:pPr>
        <w:pStyle w:val="20"/>
        <w:spacing w:line="360" w:lineRule="exact"/>
        <w:ind w:firstLine="412"/>
        <w:rPr>
          <w:rFonts w:asciiTheme="minorEastAsia" w:hAnsiTheme="minorEastAsia" w:eastAsiaTheme="minorEastAsia"/>
          <w:b w:val="0"/>
          <w:sz w:val="21"/>
          <w:szCs w:val="21"/>
        </w:rPr>
      </w:pPr>
      <w:r>
        <w:rPr>
          <w:rFonts w:asciiTheme="minorEastAsia" w:hAnsiTheme="minorEastAsia" w:eastAsiaTheme="minorEastAsia"/>
          <w:b w:val="0"/>
          <w:sz w:val="21"/>
          <w:szCs w:val="21"/>
        </w:rPr>
        <w:t>本公司（联合体）郑重声明，根据《政府采购促进中小企业发展管理办法》（财库</w:t>
      </w:r>
      <w:r>
        <w:rPr>
          <w:rFonts w:hint="eastAsia" w:asciiTheme="minorEastAsia" w:hAnsiTheme="minorEastAsia" w:eastAsiaTheme="minorEastAsia"/>
          <w:b w:val="0"/>
          <w:sz w:val="21"/>
          <w:szCs w:val="21"/>
        </w:rPr>
        <w:t>﹝</w:t>
      </w:r>
      <w:r>
        <w:rPr>
          <w:rFonts w:asciiTheme="minorEastAsia" w:hAnsiTheme="minorEastAsia" w:eastAsiaTheme="minorEastAsia"/>
          <w:b w:val="0"/>
          <w:sz w:val="21"/>
          <w:szCs w:val="21"/>
        </w:rPr>
        <w:t>2020</w:t>
      </w:r>
      <w:r>
        <w:rPr>
          <w:rFonts w:hint="eastAsia" w:asciiTheme="minorEastAsia" w:hAnsiTheme="minorEastAsia" w:eastAsiaTheme="minorEastAsia"/>
          <w:b w:val="0"/>
          <w:sz w:val="21"/>
          <w:szCs w:val="21"/>
        </w:rPr>
        <w:t>﹞</w:t>
      </w:r>
      <w:r>
        <w:rPr>
          <w:rFonts w:asciiTheme="minorEastAsia" w:hAnsiTheme="minorEastAsia" w:eastAsiaTheme="minorEastAsia"/>
          <w:b w:val="0"/>
          <w:sz w:val="21"/>
          <w:szCs w:val="21"/>
        </w:rPr>
        <w:t>46 号）的规定，本公司（联合体）参加</w:t>
      </w:r>
      <w:r>
        <w:rPr>
          <w:rFonts w:asciiTheme="minorEastAsia" w:hAnsiTheme="minorEastAsia" w:eastAsiaTheme="minorEastAsia"/>
          <w:b w:val="0"/>
          <w:sz w:val="21"/>
          <w:szCs w:val="21"/>
          <w:u w:val="single"/>
        </w:rPr>
        <w:t>（单位名称）</w:t>
      </w:r>
      <w:r>
        <w:rPr>
          <w:rFonts w:asciiTheme="minorEastAsia" w:hAnsiTheme="minorEastAsia" w:eastAsiaTheme="minorEastAsia"/>
          <w:b w:val="0"/>
          <w:sz w:val="21"/>
          <w:szCs w:val="21"/>
        </w:rPr>
        <w:t>的</w:t>
      </w:r>
      <w:r>
        <w:rPr>
          <w:rFonts w:asciiTheme="minorEastAsia" w:hAnsiTheme="minorEastAsia" w:eastAsiaTheme="minorEastAsia"/>
          <w:b w:val="0"/>
          <w:sz w:val="21"/>
          <w:szCs w:val="21"/>
          <w:u w:val="single"/>
        </w:rPr>
        <w:t>（项目名称）</w:t>
      </w:r>
      <w:r>
        <w:rPr>
          <w:rFonts w:asciiTheme="minorEastAsia" w:hAnsiTheme="minorEastAsia" w:eastAsiaTheme="minorEastAsia"/>
          <w:b w:val="0"/>
          <w:sz w:val="21"/>
          <w:szCs w:val="21"/>
        </w:rPr>
        <w:t>采购活动，</w:t>
      </w:r>
      <w:r>
        <w:rPr>
          <w:rFonts w:hint="eastAsia" w:asciiTheme="minorEastAsia" w:hAnsiTheme="minorEastAsia" w:eastAsiaTheme="minorEastAsia"/>
          <w:b w:val="0"/>
          <w:sz w:val="21"/>
          <w:szCs w:val="21"/>
        </w:rPr>
        <w:t>服务全部由符合政策要求的中小企业承接</w:t>
      </w:r>
      <w:r>
        <w:rPr>
          <w:rFonts w:asciiTheme="minorEastAsia" w:hAnsiTheme="minorEastAsia" w:eastAsiaTheme="minorEastAsia"/>
          <w:b w:val="0"/>
          <w:sz w:val="21"/>
          <w:szCs w:val="21"/>
        </w:rPr>
        <w:t>。相关企业（含联合体中的中小企业、签订分包意向协议的中小企业）的具体情况如下：</w:t>
      </w:r>
    </w:p>
    <w:p>
      <w:pPr>
        <w:pStyle w:val="20"/>
        <w:spacing w:line="360" w:lineRule="exact"/>
        <w:ind w:firstLine="412"/>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1. </w:t>
      </w:r>
      <w:r>
        <w:rPr>
          <w:rFonts w:asciiTheme="minorEastAsia" w:hAnsiTheme="minorEastAsia" w:eastAsiaTheme="minorEastAsia"/>
          <w:b w:val="0"/>
          <w:sz w:val="21"/>
          <w:szCs w:val="21"/>
          <w:u w:val="single"/>
        </w:rPr>
        <w:t>（标的名称）</w:t>
      </w:r>
      <w:r>
        <w:rPr>
          <w:rFonts w:asciiTheme="minorEastAsia" w:hAnsiTheme="minorEastAsia" w:eastAsiaTheme="minorEastAsia"/>
          <w:b w:val="0"/>
          <w:sz w:val="21"/>
          <w:szCs w:val="21"/>
        </w:rPr>
        <w:t>，属于</w:t>
      </w:r>
      <w:r>
        <w:rPr>
          <w:rFonts w:asciiTheme="minorEastAsia" w:hAnsiTheme="minorEastAsia" w:eastAsiaTheme="minorEastAsia"/>
          <w:b w:val="0"/>
          <w:sz w:val="21"/>
          <w:szCs w:val="21"/>
          <w:u w:val="single"/>
        </w:rPr>
        <w:t>（采购文件中明确的所属行业）</w:t>
      </w:r>
      <w:r>
        <w:rPr>
          <w:rFonts w:asciiTheme="minorEastAsia" w:hAnsiTheme="minorEastAsia" w:eastAsiaTheme="minorEastAsia"/>
          <w:b w:val="0"/>
          <w:sz w:val="21"/>
          <w:szCs w:val="21"/>
        </w:rPr>
        <w:t>；承接企业为</w:t>
      </w:r>
      <w:r>
        <w:rPr>
          <w:rFonts w:asciiTheme="minorEastAsia" w:hAnsiTheme="minorEastAsia" w:eastAsiaTheme="minorEastAsia"/>
          <w:b w:val="0"/>
          <w:sz w:val="21"/>
          <w:szCs w:val="21"/>
          <w:u w:val="single"/>
        </w:rPr>
        <w:t>（企业名称）</w:t>
      </w:r>
      <w:r>
        <w:rPr>
          <w:rFonts w:asciiTheme="minorEastAsia" w:hAnsiTheme="minorEastAsia" w:eastAsiaTheme="minorEastAsia"/>
          <w:b w:val="0"/>
          <w:sz w:val="21"/>
          <w:szCs w:val="21"/>
        </w:rPr>
        <w:t>，从业人员</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asciiTheme="minorEastAsia" w:hAnsiTheme="minorEastAsia" w:eastAsiaTheme="minorEastAsia"/>
          <w:b w:val="0"/>
          <w:sz w:val="21"/>
          <w:szCs w:val="21"/>
        </w:rPr>
        <w:t>人，营业收入为</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万元，资产总额为</w:t>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万元，属于</w:t>
      </w:r>
      <w:r>
        <w:rPr>
          <w:rFonts w:asciiTheme="minorEastAsia" w:hAnsiTheme="minorEastAsia" w:eastAsiaTheme="minorEastAsia"/>
          <w:b w:val="0"/>
          <w:sz w:val="21"/>
          <w:szCs w:val="21"/>
          <w:u w:val="single"/>
        </w:rPr>
        <w:t>（中型企业、小型企业、微型企业）</w:t>
      </w:r>
      <w:r>
        <w:rPr>
          <w:rFonts w:asciiTheme="minorEastAsia" w:hAnsiTheme="minorEastAsia" w:eastAsiaTheme="minorEastAsia"/>
          <w:b w:val="0"/>
          <w:sz w:val="21"/>
          <w:szCs w:val="21"/>
        </w:rPr>
        <w:t>；</w:t>
      </w:r>
    </w:p>
    <w:p>
      <w:pPr>
        <w:pStyle w:val="20"/>
        <w:spacing w:line="360" w:lineRule="exact"/>
        <w:ind w:firstLine="412"/>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2. </w:t>
      </w:r>
      <w:r>
        <w:rPr>
          <w:rFonts w:asciiTheme="minorEastAsia" w:hAnsiTheme="minorEastAsia" w:eastAsiaTheme="minorEastAsia"/>
          <w:b w:val="0"/>
          <w:sz w:val="21"/>
          <w:szCs w:val="21"/>
          <w:u w:val="single"/>
        </w:rPr>
        <w:t>（标的名称）</w:t>
      </w:r>
      <w:r>
        <w:rPr>
          <w:rFonts w:asciiTheme="minorEastAsia" w:hAnsiTheme="minorEastAsia" w:eastAsiaTheme="minorEastAsia"/>
          <w:b w:val="0"/>
          <w:sz w:val="21"/>
          <w:szCs w:val="21"/>
        </w:rPr>
        <w:t>，属于</w:t>
      </w:r>
      <w:r>
        <w:rPr>
          <w:rFonts w:asciiTheme="minorEastAsia" w:hAnsiTheme="minorEastAsia" w:eastAsiaTheme="minorEastAsia"/>
          <w:b w:val="0"/>
          <w:sz w:val="21"/>
          <w:szCs w:val="21"/>
          <w:u w:val="single"/>
        </w:rPr>
        <w:t>（采购文件中明确的所属行业）</w:t>
      </w:r>
      <w:r>
        <w:rPr>
          <w:rFonts w:asciiTheme="minorEastAsia" w:hAnsiTheme="minorEastAsia" w:eastAsiaTheme="minorEastAsia"/>
          <w:b w:val="0"/>
          <w:sz w:val="21"/>
          <w:szCs w:val="21"/>
        </w:rPr>
        <w:t>；承接企业为</w:t>
      </w:r>
      <w:r>
        <w:rPr>
          <w:rFonts w:asciiTheme="minorEastAsia" w:hAnsiTheme="minorEastAsia" w:eastAsiaTheme="minorEastAsia"/>
          <w:b w:val="0"/>
          <w:sz w:val="21"/>
          <w:szCs w:val="21"/>
          <w:u w:val="single"/>
        </w:rPr>
        <w:t>（企业名称）</w:t>
      </w:r>
      <w:r>
        <w:rPr>
          <w:rFonts w:asciiTheme="minorEastAsia" w:hAnsiTheme="minorEastAsia" w:eastAsiaTheme="minorEastAsia"/>
          <w:b w:val="0"/>
          <w:sz w:val="21"/>
          <w:szCs w:val="21"/>
        </w:rPr>
        <w:t>，从业人员</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asciiTheme="minorEastAsia" w:hAnsiTheme="minorEastAsia" w:eastAsiaTheme="minorEastAsia"/>
          <w:b w:val="0"/>
          <w:sz w:val="21"/>
          <w:szCs w:val="21"/>
        </w:rPr>
        <w:t>人，营业收入为</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万元，资产总额为</w:t>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万元，属于</w:t>
      </w:r>
      <w:r>
        <w:rPr>
          <w:rFonts w:asciiTheme="minorEastAsia" w:hAnsiTheme="minorEastAsia" w:eastAsiaTheme="minorEastAsia"/>
          <w:b w:val="0"/>
          <w:sz w:val="21"/>
          <w:szCs w:val="21"/>
          <w:u w:val="single"/>
        </w:rPr>
        <w:t>（中型企业、小型企业、微型企业）</w:t>
      </w:r>
      <w:r>
        <w:rPr>
          <w:rFonts w:asciiTheme="minorEastAsia" w:hAnsiTheme="minorEastAsia" w:eastAsiaTheme="minorEastAsia"/>
          <w:b w:val="0"/>
          <w:sz w:val="21"/>
          <w:szCs w:val="21"/>
        </w:rPr>
        <w:t>；</w:t>
      </w:r>
    </w:p>
    <w:p>
      <w:pPr>
        <w:pStyle w:val="20"/>
        <w:spacing w:before="11" w:line="360" w:lineRule="exact"/>
        <w:ind w:firstLine="424" w:firstLineChars="202"/>
        <w:rPr>
          <w:rFonts w:asciiTheme="minorEastAsia" w:hAnsiTheme="minorEastAsia" w:eastAsiaTheme="minorEastAsia"/>
          <w:b w:val="0"/>
          <w:sz w:val="21"/>
          <w:szCs w:val="21"/>
        </w:rPr>
      </w:pPr>
      <w:r>
        <w:rPr>
          <w:rFonts w:asciiTheme="minorEastAsia" w:hAnsiTheme="minorEastAsia" w:eastAsiaTheme="minorEastAsia"/>
          <w:b w:val="0"/>
          <w:sz w:val="21"/>
          <w:szCs w:val="21"/>
        </w:rPr>
        <w:t>……</w:t>
      </w:r>
    </w:p>
    <w:p>
      <w:pPr>
        <w:pStyle w:val="20"/>
        <w:spacing w:before="108" w:line="360" w:lineRule="exact"/>
        <w:ind w:firstLine="408"/>
        <w:rPr>
          <w:rFonts w:asciiTheme="minorEastAsia" w:hAnsiTheme="minorEastAsia" w:eastAsiaTheme="minorEastAsia"/>
          <w:b w:val="0"/>
          <w:sz w:val="21"/>
          <w:szCs w:val="21"/>
        </w:rPr>
      </w:pPr>
      <w:r>
        <w:rPr>
          <w:rFonts w:asciiTheme="minorEastAsia" w:hAnsiTheme="minorEastAsia" w:eastAsiaTheme="minorEastAsia"/>
          <w:b w:val="0"/>
          <w:sz w:val="21"/>
          <w:szCs w:val="21"/>
        </w:rPr>
        <w:t>以上企业，不属于大企业的分支机构，不存在控股股东为大企业的情形，也不存在与大企业的负责人为同一人的情形。</w:t>
      </w:r>
    </w:p>
    <w:p>
      <w:pPr>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exact"/>
        <w:ind w:firstLine="420" w:firstLineChars="200"/>
        <w:rPr>
          <w:rFonts w:asciiTheme="minorEastAsia" w:hAnsiTheme="minorEastAsia" w:eastAsiaTheme="minorEastAsia"/>
          <w:szCs w:val="21"/>
        </w:rPr>
      </w:pPr>
    </w:p>
    <w:p>
      <w:pPr>
        <w:spacing w:line="360" w:lineRule="exact"/>
        <w:jc w:val="center"/>
        <w:rPr>
          <w:rFonts w:ascii="Times New Roman" w:hAnsi="Times New Roman"/>
          <w:szCs w:val="24"/>
        </w:rPr>
      </w:pPr>
      <w:r>
        <w:rPr>
          <w:rFonts w:hint="eastAsia" w:ascii="Times New Roman" w:hAnsi="Times New Roman"/>
          <w:szCs w:val="21"/>
        </w:rPr>
        <w:t xml:space="preserve">                           企业名称：</w:t>
      </w:r>
    </w:p>
    <w:p>
      <w:pPr>
        <w:spacing w:line="360" w:lineRule="exact"/>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exact"/>
        <w:ind w:firstLine="420" w:firstLineChars="200"/>
        <w:rPr>
          <w:rFonts w:ascii="宋体" w:hAnsi="宋体"/>
          <w:szCs w:val="21"/>
        </w:rPr>
      </w:pPr>
      <w:r>
        <w:rPr>
          <w:rFonts w:hint="eastAsia" w:ascii="宋体" w:hAnsi="宋体"/>
          <w:szCs w:val="21"/>
        </w:rPr>
        <w:t>备注：</w:t>
      </w:r>
    </w:p>
    <w:p>
      <w:pPr>
        <w:spacing w:line="360" w:lineRule="exact"/>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pPr>
        <w:spacing w:line="360" w:lineRule="exact"/>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exact"/>
        <w:ind w:firstLine="420" w:firstLineChars="200"/>
        <w:rPr>
          <w:rFonts w:ascii="宋体" w:hAnsi="宋体"/>
          <w:szCs w:val="21"/>
        </w:rPr>
      </w:pPr>
    </w:p>
    <w:p>
      <w:pPr>
        <w:spacing w:after="60" w:line="360" w:lineRule="exact"/>
        <w:jc w:val="center"/>
        <w:outlineLvl w:val="3"/>
        <w:rPr>
          <w:b/>
          <w:sz w:val="24"/>
        </w:rPr>
      </w:pPr>
      <w:r>
        <w:rPr>
          <w:rFonts w:hint="eastAsia"/>
          <w:b/>
          <w:sz w:val="24"/>
        </w:rPr>
        <w:t>2、监狱企业声明函</w:t>
      </w:r>
    </w:p>
    <w:p>
      <w:pPr>
        <w:spacing w:after="60" w:line="360" w:lineRule="exact"/>
        <w:ind w:firstLine="420" w:firstLineChars="200"/>
        <w:rPr>
          <w:rFonts w:ascii="宋体" w:hAnsi="宋体"/>
          <w:szCs w:val="21"/>
        </w:rPr>
      </w:pPr>
      <w:r>
        <w:rPr>
          <w:rFonts w:hint="eastAsia" w:ascii="宋体" w:hAnsi="宋体"/>
          <w:szCs w:val="21"/>
        </w:rPr>
        <w:t>本单位郑重声明，根据《关于政府采购支持监狱企业发展有关问题的通知》（财库〔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after="60" w:line="36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exact"/>
        <w:jc w:val="center"/>
      </w:pPr>
      <w:r>
        <w:rPr>
          <w:rFonts w:hint="eastAsia"/>
          <w:szCs w:val="21"/>
        </w:rPr>
        <w:t xml:space="preserve">                             单位名称：</w:t>
      </w:r>
    </w:p>
    <w:p>
      <w:pPr>
        <w:spacing w:line="360" w:lineRule="exact"/>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exact"/>
        <w:ind w:firstLine="645"/>
        <w:rPr>
          <w:rFonts w:ascii="宋体"/>
          <w:b/>
          <w:szCs w:val="21"/>
        </w:rPr>
      </w:pPr>
      <w:r>
        <w:rPr>
          <w:rFonts w:hint="eastAsia" w:ascii="宋体" w:hAnsi="宋体"/>
          <w:szCs w:val="21"/>
        </w:rPr>
        <w:t xml:space="preserve">                                    </w:t>
      </w:r>
    </w:p>
    <w:p>
      <w:pPr>
        <w:spacing w:after="60" w:line="360" w:lineRule="exact"/>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ind w:left="723" w:hanging="723" w:hangingChars="300"/>
        <w:rPr>
          <w:b/>
          <w:sz w:val="24"/>
        </w:rPr>
      </w:pPr>
    </w:p>
    <w:p>
      <w:pPr>
        <w:spacing w:line="360" w:lineRule="exact"/>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spacing w:after="60" w:line="360" w:lineRule="exact"/>
        <w:ind w:firstLine="420" w:firstLineChars="200"/>
        <w:rPr>
          <w:rFonts w:ascii="宋体" w:hAnsi="宋体"/>
          <w:szCs w:val="21"/>
        </w:rPr>
      </w:pPr>
      <w:r>
        <w:rPr>
          <w:rFonts w:hint="eastAsia" w:ascii="宋体" w:hAnsi="宋体"/>
          <w:szCs w:val="21"/>
        </w:rPr>
        <w:t xml:space="preserve">                                     </w:t>
      </w:r>
    </w:p>
    <w:p>
      <w:pPr>
        <w:spacing w:after="60" w:line="360" w:lineRule="exact"/>
        <w:jc w:val="center"/>
        <w:outlineLvl w:val="3"/>
        <w:rPr>
          <w:b/>
          <w:bCs/>
        </w:rPr>
      </w:pPr>
      <w:r>
        <w:rPr>
          <w:rFonts w:hint="eastAsia"/>
          <w:b/>
          <w:sz w:val="24"/>
        </w:rPr>
        <w:t>3、残疾人福利性单位声明函</w:t>
      </w:r>
    </w:p>
    <w:p>
      <w:pPr>
        <w:spacing w:line="360" w:lineRule="exact"/>
        <w:ind w:firstLine="420" w:firstLineChars="200"/>
        <w:jc w:val="left"/>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pPr>
        <w:spacing w:after="60" w:line="36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after="60" w:line="360" w:lineRule="exact"/>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exact"/>
        <w:jc w:val="center"/>
      </w:pPr>
      <w:r>
        <w:rPr>
          <w:rFonts w:hint="eastAsia"/>
          <w:szCs w:val="21"/>
        </w:rPr>
        <w:t xml:space="preserve">                             单位名称：</w:t>
      </w:r>
    </w:p>
    <w:p>
      <w:pPr>
        <w:spacing w:line="360" w:lineRule="exact"/>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exact"/>
        <w:ind w:firstLine="424" w:firstLineChars="202"/>
      </w:pPr>
      <w:r>
        <w:rPr>
          <w:rFonts w:hint="eastAsia" w:ascii="宋体" w:hAnsi="宋体"/>
          <w:szCs w:val="21"/>
        </w:rPr>
        <w:t>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r>
        <w:br w:type="page"/>
      </w:r>
    </w:p>
    <w:p>
      <w:pPr>
        <w:rPr>
          <w:rFonts w:ascii="仿宋_GB2312" w:eastAsia="仿宋_GB2312"/>
          <w:b/>
          <w:color w:val="FF0000"/>
          <w:sz w:val="30"/>
          <w:szCs w:val="30"/>
        </w:rPr>
      </w:pPr>
      <w:r>
        <w:rPr>
          <w:rFonts w:hint="eastAsia" w:ascii="仿宋_GB2312" w:eastAsia="仿宋_GB2312"/>
          <w:b/>
          <w:color w:val="FF0000"/>
          <w:sz w:val="30"/>
          <w:szCs w:val="30"/>
        </w:rPr>
        <w:t>投标文件附件（信息不公开部分）：</w:t>
      </w:r>
    </w:p>
    <w:p>
      <w:pPr>
        <w:keepNext/>
        <w:keepLines/>
        <w:spacing w:before="260" w:after="260"/>
        <w:jc w:val="center"/>
        <w:outlineLvl w:val="2"/>
        <w:rPr>
          <w:rFonts w:ascii="黑体" w:hAnsi="宋体" w:eastAsia="黑体"/>
          <w:bCs/>
          <w:kern w:val="0"/>
          <w:sz w:val="24"/>
          <w:szCs w:val="32"/>
        </w:rPr>
      </w:pPr>
      <w:r>
        <w:rPr>
          <w:rFonts w:hint="eastAsia" w:ascii="黑体" w:hAnsi="宋体" w:eastAsia="黑体"/>
          <w:bCs/>
          <w:kern w:val="0"/>
          <w:sz w:val="24"/>
          <w:szCs w:val="32"/>
        </w:rPr>
        <w:t>五、政府采购违法行为风险知悉确认书</w:t>
      </w:r>
    </w:p>
    <w:p>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pPr>
        <w:spacing w:line="360" w:lineRule="auto"/>
        <w:ind w:firstLine="420" w:firstLineChars="200"/>
        <w:rPr>
          <w:rFonts w:ascii="宋体" w:hAnsi="宋体"/>
          <w:szCs w:val="21"/>
        </w:rPr>
      </w:pPr>
      <w:r>
        <w:rPr>
          <w:rFonts w:hint="eastAsia" w:ascii="宋体" w:hAnsi="宋体"/>
          <w:szCs w:val="21"/>
        </w:rPr>
        <w:t>（七）不同投标人的投标报价呈规律性差异。</w:t>
      </w:r>
    </w:p>
    <w:p>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szCs w:val="21"/>
          <w:u w:val="single"/>
        </w:rPr>
      </w:pPr>
    </w:p>
    <w:p>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pPr>
        <w:spacing w:line="360" w:lineRule="auto"/>
        <w:ind w:firstLine="420" w:firstLineChars="200"/>
        <w:rPr>
          <w:rFonts w:ascii="宋体" w:hAnsi="宋体"/>
          <w:szCs w:val="21"/>
        </w:rPr>
      </w:pPr>
      <w:r>
        <w:rPr>
          <w:rFonts w:hint="eastAsia" w:ascii="宋体" w:hAnsi="宋体"/>
          <w:szCs w:val="21"/>
        </w:rPr>
        <w:t>知悉人（公章）：</w:t>
      </w:r>
    </w:p>
    <w:p>
      <w:pPr>
        <w:spacing w:line="360" w:lineRule="auto"/>
        <w:ind w:firstLine="420" w:firstLineChars="200"/>
        <w:rPr>
          <w:rFonts w:ascii="宋体" w:hAnsi="宋体"/>
          <w:szCs w:val="21"/>
        </w:rPr>
      </w:pPr>
      <w:r>
        <w:rPr>
          <w:rFonts w:hint="eastAsia" w:ascii="宋体" w:hAnsi="宋体"/>
          <w:szCs w:val="21"/>
        </w:rPr>
        <w:t>日期：</w:t>
      </w:r>
    </w:p>
    <w:p>
      <w:pPr>
        <w:spacing w:line="360" w:lineRule="auto"/>
        <w:ind w:firstLine="420" w:firstLineChars="200"/>
        <w:rPr>
          <w:rFonts w:ascii="宋体" w:hAnsi="宋体"/>
          <w:szCs w:val="21"/>
        </w:rPr>
      </w:pPr>
    </w:p>
    <w:p>
      <w:pPr>
        <w:rPr>
          <w:rFonts w:ascii="仿宋_GB2312" w:eastAsia="仿宋_GB2312"/>
          <w:b/>
          <w:sz w:val="30"/>
          <w:szCs w:val="30"/>
        </w:rPr>
      </w:pPr>
    </w:p>
    <w:p>
      <w:pPr>
        <w:keepNext/>
        <w:keepLines/>
        <w:spacing w:before="260" w:after="260"/>
        <w:jc w:val="center"/>
        <w:outlineLvl w:val="2"/>
        <w:rPr>
          <w:rFonts w:ascii="黑体" w:hAnsi="宋体" w:eastAsia="黑体"/>
          <w:bCs/>
          <w:kern w:val="0"/>
          <w:sz w:val="24"/>
          <w:szCs w:val="32"/>
        </w:rPr>
      </w:pPr>
      <w:r>
        <w:rPr>
          <w:rFonts w:hint="eastAsia" w:ascii="黑体" w:hAnsi="宋体" w:eastAsia="黑体"/>
          <w:bCs/>
          <w:kern w:val="0"/>
          <w:sz w:val="24"/>
          <w:szCs w:val="32"/>
        </w:rPr>
        <w:t>六、法定代表人（负责人）资格证明书</w:t>
      </w:r>
    </w:p>
    <w:p>
      <w:pPr>
        <w:rPr>
          <w:rFonts w:ascii="Times New Roman" w:hAnsi="Times New Roman"/>
          <w:sz w:val="24"/>
          <w:szCs w:val="24"/>
        </w:rPr>
      </w:pPr>
    </w:p>
    <w:p>
      <w:pPr>
        <w:spacing w:line="360" w:lineRule="auto"/>
        <w:rPr>
          <w:rFonts w:ascii="Times New Roman" w:hAnsi="Times New Roman"/>
          <w:szCs w:val="21"/>
        </w:rPr>
      </w:pPr>
      <w:r>
        <w:rPr>
          <w:rFonts w:hint="eastAsia" w:ascii="Times New Roman" w:hAnsi="Times New Roman"/>
          <w:szCs w:val="21"/>
        </w:rPr>
        <w:t xml:space="preserve">   </w:t>
      </w:r>
      <w:r>
        <w:rPr>
          <w:rFonts w:hint="eastAsia" w:ascii="Times New Roman" w:hAnsi="Times New Roman"/>
          <w:szCs w:val="21"/>
          <w:u w:val="single"/>
        </w:rPr>
        <w:t xml:space="preserve">         </w:t>
      </w:r>
      <w:r>
        <w:rPr>
          <w:rFonts w:hint="eastAsia" w:ascii="Times New Roman" w:hAnsi="Times New Roman"/>
          <w:szCs w:val="21"/>
        </w:rPr>
        <w:t>同志，现任我单位</w:t>
      </w:r>
      <w:r>
        <w:rPr>
          <w:rFonts w:hint="eastAsia" w:ascii="Times New Roman" w:hAnsi="Times New Roman"/>
          <w:szCs w:val="21"/>
          <w:u w:val="single"/>
        </w:rPr>
        <w:t xml:space="preserve">         </w:t>
      </w:r>
      <w:r>
        <w:rPr>
          <w:rFonts w:hint="eastAsia" w:ascii="Times New Roman" w:hAnsi="Times New Roman"/>
          <w:szCs w:val="21"/>
        </w:rPr>
        <w:t>职务，为法定代表人</w:t>
      </w:r>
      <w:r>
        <w:rPr>
          <w:rFonts w:hint="eastAsia" w:ascii="黑体" w:hAnsi="Times New Roman" w:eastAsia="黑体"/>
          <w:b/>
          <w:kern w:val="0"/>
          <w:sz w:val="24"/>
          <w:szCs w:val="24"/>
        </w:rPr>
        <w:t>（负责人）</w:t>
      </w:r>
      <w:r>
        <w:rPr>
          <w:rFonts w:hint="eastAsia" w:ascii="Times New Roman" w:hAnsi="Times New Roman"/>
          <w:szCs w:val="21"/>
        </w:rPr>
        <w:t>，特此证明。</w:t>
      </w:r>
    </w:p>
    <w:p>
      <w:pPr>
        <w:spacing w:line="360" w:lineRule="auto"/>
        <w:rPr>
          <w:rFonts w:ascii="Times New Roman" w:hAnsi="Times New Roman"/>
          <w:szCs w:val="21"/>
        </w:rPr>
      </w:pPr>
      <w:r>
        <w:rPr>
          <w:rFonts w:hint="eastAsia" w:ascii="Times New Roman" w:hAnsi="Times New Roman"/>
          <w:szCs w:val="21"/>
        </w:rPr>
        <w:t>说明：1、法定代表人为企业事业单位、国家机关、社会团体的主要负责人。</w:t>
      </w:r>
    </w:p>
    <w:p>
      <w:pPr>
        <w:rPr>
          <w:rFonts w:ascii="Times New Roman" w:hAnsi="Times New Roman"/>
          <w:szCs w:val="21"/>
        </w:rPr>
      </w:pPr>
      <w:r>
        <w:rPr>
          <w:rFonts w:hint="eastAsia" w:ascii="Times New Roman" w:hAnsi="Times New Roman"/>
          <w:szCs w:val="21"/>
        </w:rPr>
        <w:t xml:space="preserve">      2、内容必须填写真实、清楚，涂改无效，不得转让、买卖。</w:t>
      </w:r>
    </w:p>
    <w:p>
      <w:pPr>
        <w:spacing w:line="360" w:lineRule="auto"/>
        <w:rPr>
          <w:rFonts w:ascii="Times New Roman" w:hAnsi="Times New Roman"/>
          <w:b/>
          <w:szCs w:val="21"/>
        </w:rPr>
      </w:pPr>
    </w:p>
    <w:p>
      <w:pPr>
        <w:spacing w:line="360" w:lineRule="auto"/>
        <w:rPr>
          <w:rFonts w:ascii="Times New Roman" w:hAnsi="Times New Roman"/>
          <w:b/>
          <w:sz w:val="24"/>
          <w:szCs w:val="24"/>
        </w:rPr>
      </w:pPr>
      <w:r>
        <w:rPr>
          <w:rFonts w:hint="eastAsia" w:ascii="Times New Roman" w:hAnsi="Times New Roman"/>
          <w:b/>
          <w:sz w:val="24"/>
          <w:szCs w:val="24"/>
        </w:rPr>
        <w:t>附：要求必须提供法定代表人（负责人）身份证扫描件（正反两面）。</w:t>
      </w:r>
    </w:p>
    <w:p>
      <w:pPr>
        <w:spacing w:line="360" w:lineRule="auto"/>
        <w:rPr>
          <w:rFonts w:ascii="Times New Roman" w:hAnsi="Times New Roman"/>
          <w:b/>
          <w:sz w:val="24"/>
          <w:szCs w:val="24"/>
        </w:rPr>
      </w:pPr>
    </w:p>
    <w:p>
      <w:pPr>
        <w:keepNext/>
        <w:keepLines/>
        <w:spacing w:before="260" w:after="260"/>
        <w:jc w:val="center"/>
        <w:outlineLvl w:val="2"/>
        <w:rPr>
          <w:rFonts w:ascii="黑体" w:hAnsi="宋体" w:eastAsia="黑体"/>
          <w:bCs/>
          <w:sz w:val="24"/>
          <w:szCs w:val="24"/>
        </w:rPr>
      </w:pPr>
      <w:r>
        <w:rPr>
          <w:rFonts w:ascii="宋体" w:hAnsi="宋体"/>
          <w:b/>
          <w:bCs/>
          <w:sz w:val="28"/>
          <w:szCs w:val="32"/>
        </w:rPr>
        <w:tab/>
      </w:r>
      <w:r>
        <w:rPr>
          <w:rFonts w:hint="eastAsia" w:ascii="黑体" w:hAnsi="宋体" w:eastAsia="黑体"/>
          <w:bCs/>
          <w:kern w:val="0"/>
          <w:sz w:val="24"/>
          <w:szCs w:val="24"/>
        </w:rPr>
        <w:t>七、投标文件签署授权委托书</w:t>
      </w:r>
    </w:p>
    <w:p>
      <w:pPr>
        <w:spacing w:line="360" w:lineRule="auto"/>
        <w:ind w:firstLine="420" w:firstLineChars="200"/>
        <w:rPr>
          <w:rFonts w:ascii="Times New Roman" w:hAnsi="Times New Roman"/>
          <w:szCs w:val="21"/>
        </w:rPr>
      </w:pPr>
      <w:r>
        <w:rPr>
          <w:rFonts w:hint="eastAsia" w:ascii="Times New Roman" w:hAnsi="Times New Roman"/>
          <w:szCs w:val="21"/>
        </w:rPr>
        <w:t>本授权委托书声明：我</w:t>
      </w:r>
      <w:r>
        <w:rPr>
          <w:rFonts w:hint="eastAsia" w:ascii="Times New Roman" w:hAnsi="Times New Roman"/>
          <w:szCs w:val="21"/>
          <w:u w:val="single"/>
        </w:rPr>
        <w:t xml:space="preserve">           </w:t>
      </w:r>
      <w:r>
        <w:rPr>
          <w:rFonts w:hint="eastAsia" w:ascii="Times New Roman" w:hAnsi="Times New Roman"/>
          <w:szCs w:val="21"/>
        </w:rPr>
        <w:t>（姓名）系</w:t>
      </w:r>
      <w:r>
        <w:rPr>
          <w:rFonts w:hint="eastAsia" w:ascii="Times New Roman" w:hAnsi="Times New Roman"/>
          <w:szCs w:val="21"/>
          <w:u w:val="single"/>
        </w:rPr>
        <w:t xml:space="preserve">             </w:t>
      </w:r>
      <w:r>
        <w:rPr>
          <w:rFonts w:hint="eastAsia" w:ascii="Times New Roman" w:hAnsi="Times New Roman"/>
          <w:szCs w:val="21"/>
        </w:rPr>
        <w:t>（投标供应商名称）的法定代表人</w:t>
      </w:r>
      <w:r>
        <w:rPr>
          <w:rFonts w:hint="eastAsia" w:ascii="黑体" w:hAnsi="Times New Roman" w:eastAsia="黑体"/>
          <w:b/>
          <w:kern w:val="0"/>
          <w:sz w:val="24"/>
          <w:szCs w:val="24"/>
        </w:rPr>
        <w:t>（负责人）</w:t>
      </w:r>
      <w:r>
        <w:rPr>
          <w:rFonts w:hint="eastAsia" w:ascii="Times New Roman" w:hAnsi="Times New Roman"/>
          <w:szCs w:val="21"/>
        </w:rPr>
        <w:t>，现授权委托</w:t>
      </w:r>
      <w:r>
        <w:rPr>
          <w:rFonts w:hint="eastAsia" w:ascii="Times New Roman" w:hAnsi="Times New Roman"/>
          <w:szCs w:val="21"/>
          <w:u w:val="single"/>
        </w:rPr>
        <w:t xml:space="preserve">            </w:t>
      </w:r>
      <w:r>
        <w:rPr>
          <w:rFonts w:hint="eastAsia" w:ascii="Times New Roman" w:hAnsi="Times New Roman"/>
          <w:szCs w:val="21"/>
        </w:rPr>
        <w:t>（姓名）为我公司签署本项目已递交的投标文件的法定代表人的授权委托代理人，代理人全权代表我所签署的本项目已递交的投标文件内容我均承认。</w:t>
      </w:r>
    </w:p>
    <w:p>
      <w:pPr>
        <w:spacing w:line="360" w:lineRule="auto"/>
        <w:ind w:firstLine="420"/>
        <w:rPr>
          <w:rFonts w:ascii="Times New Roman" w:hAnsi="Times New Roman"/>
          <w:szCs w:val="21"/>
        </w:rPr>
      </w:pPr>
      <w:r>
        <w:rPr>
          <w:rFonts w:hint="eastAsia" w:ascii="Times New Roman" w:hAnsi="Times New Roman"/>
          <w:szCs w:val="21"/>
        </w:rPr>
        <w:t>代理人无转委托权，特此委托。</w:t>
      </w:r>
    </w:p>
    <w:p>
      <w:pPr>
        <w:spacing w:line="360" w:lineRule="auto"/>
        <w:ind w:firstLine="420"/>
        <w:rPr>
          <w:rFonts w:ascii="Times New Roman" w:hAnsi="Times New Roman"/>
          <w:szCs w:val="21"/>
        </w:rPr>
      </w:pPr>
    </w:p>
    <w:p>
      <w:pPr>
        <w:spacing w:line="360" w:lineRule="auto"/>
        <w:ind w:left="540" w:leftChars="257"/>
        <w:rPr>
          <w:rFonts w:ascii="Times New Roman" w:hAnsi="Times New Roman"/>
          <w:szCs w:val="21"/>
          <w:u w:val="single"/>
        </w:rPr>
      </w:pPr>
      <w:r>
        <w:rPr>
          <w:rFonts w:hint="eastAsia" w:ascii="Times New Roman" w:hAnsi="Times New Roman"/>
          <w:szCs w:val="21"/>
        </w:rPr>
        <w:t>代理人：</w:t>
      </w:r>
      <w:r>
        <w:rPr>
          <w:rFonts w:hint="eastAsia" w:ascii="Times New Roman" w:hAnsi="Times New Roman"/>
          <w:szCs w:val="21"/>
          <w:u w:val="single"/>
        </w:rPr>
        <w:t xml:space="preserve">             </w:t>
      </w:r>
    </w:p>
    <w:p>
      <w:pPr>
        <w:spacing w:line="360" w:lineRule="auto"/>
        <w:ind w:left="540" w:leftChars="257"/>
        <w:rPr>
          <w:rFonts w:ascii="Times New Roman" w:hAnsi="Times New Roman"/>
          <w:szCs w:val="21"/>
        </w:rPr>
      </w:pPr>
      <w:r>
        <w:rPr>
          <w:rFonts w:hint="eastAsia" w:ascii="Times New Roman" w:hAnsi="Times New Roman"/>
          <w:szCs w:val="21"/>
        </w:rPr>
        <w:t>联系电话：</w:t>
      </w:r>
      <w:r>
        <w:rPr>
          <w:rFonts w:hint="eastAsia" w:ascii="Times New Roman" w:hAnsi="Times New Roman"/>
          <w:szCs w:val="21"/>
          <w:u w:val="single"/>
        </w:rPr>
        <w:t xml:space="preserve">            </w:t>
      </w:r>
      <w:r>
        <w:rPr>
          <w:rFonts w:hint="eastAsia" w:ascii="Times New Roman" w:hAnsi="Times New Roman"/>
          <w:szCs w:val="21"/>
        </w:rPr>
        <w:t xml:space="preserve">  手机：</w:t>
      </w:r>
      <w:r>
        <w:rPr>
          <w:rFonts w:hint="eastAsia" w:ascii="Times New Roman" w:hAnsi="Times New Roman"/>
          <w:szCs w:val="21"/>
          <w:u w:val="single"/>
        </w:rPr>
        <w:t xml:space="preserve">                   </w:t>
      </w:r>
    </w:p>
    <w:p>
      <w:pPr>
        <w:spacing w:line="360" w:lineRule="auto"/>
        <w:ind w:left="540" w:leftChars="257"/>
        <w:rPr>
          <w:rFonts w:ascii="Times New Roman" w:hAnsi="Times New Roman"/>
          <w:szCs w:val="21"/>
          <w:u w:val="single"/>
        </w:rPr>
      </w:pPr>
      <w:r>
        <w:rPr>
          <w:rFonts w:hint="eastAsia" w:ascii="Times New Roman" w:hAnsi="Times New Roman"/>
          <w:szCs w:val="21"/>
        </w:rPr>
        <w:t>身份证号码：</w:t>
      </w:r>
      <w:r>
        <w:rPr>
          <w:rFonts w:hint="eastAsia" w:ascii="Times New Roman" w:hAnsi="Times New Roman"/>
          <w:szCs w:val="21"/>
          <w:u w:val="single"/>
        </w:rPr>
        <w:t xml:space="preserve">                        </w:t>
      </w:r>
      <w:r>
        <w:rPr>
          <w:rFonts w:hint="eastAsia" w:ascii="Times New Roman" w:hAnsi="Times New Roman"/>
          <w:szCs w:val="21"/>
        </w:rPr>
        <w:t>职务：</w:t>
      </w:r>
      <w:r>
        <w:rPr>
          <w:rFonts w:hint="eastAsia" w:ascii="Times New Roman" w:hAnsi="Times New Roman"/>
          <w:szCs w:val="21"/>
          <w:u w:val="single"/>
        </w:rPr>
        <w:t xml:space="preserve">       </w:t>
      </w:r>
    </w:p>
    <w:p>
      <w:pPr>
        <w:spacing w:line="360" w:lineRule="auto"/>
        <w:ind w:left="540" w:leftChars="257"/>
        <w:rPr>
          <w:rFonts w:ascii="Times New Roman" w:hAnsi="Times New Roman"/>
          <w:szCs w:val="21"/>
        </w:rPr>
      </w:pPr>
      <w:r>
        <w:rPr>
          <w:rFonts w:hint="eastAsia" w:ascii="Times New Roman" w:hAnsi="Times New Roman"/>
          <w:szCs w:val="21"/>
        </w:rPr>
        <w:t>授权委托日期：</w:t>
      </w:r>
      <w:r>
        <w:rPr>
          <w:rFonts w:hint="eastAsia" w:ascii="Times New Roman" w:hAnsi="Times New Roman"/>
          <w:szCs w:val="21"/>
          <w:u w:val="single"/>
        </w:rPr>
        <w:t xml:space="preserve">         </w:t>
      </w:r>
      <w:r>
        <w:rPr>
          <w:rFonts w:hint="eastAsia" w:ascii="Times New Roman" w:hAnsi="Times New Roman"/>
          <w:szCs w:val="21"/>
        </w:rPr>
        <w:t>年</w:t>
      </w:r>
      <w:r>
        <w:rPr>
          <w:rFonts w:hint="eastAsia" w:ascii="Times New Roman" w:hAnsi="Times New Roman"/>
          <w:szCs w:val="21"/>
          <w:u w:val="single"/>
        </w:rPr>
        <w:t xml:space="preserve">     </w:t>
      </w:r>
      <w:r>
        <w:rPr>
          <w:rFonts w:hint="eastAsia" w:ascii="Times New Roman" w:hAnsi="Times New Roman"/>
          <w:szCs w:val="21"/>
        </w:rPr>
        <w:t xml:space="preserve">月 </w:t>
      </w:r>
      <w:r>
        <w:rPr>
          <w:rFonts w:hint="eastAsia" w:ascii="Times New Roman" w:hAnsi="Times New Roman"/>
          <w:szCs w:val="21"/>
          <w:u w:val="single"/>
        </w:rPr>
        <w:t xml:space="preserve">      </w:t>
      </w:r>
      <w:r>
        <w:rPr>
          <w:rFonts w:hint="eastAsia" w:ascii="Times New Roman" w:hAnsi="Times New Roman"/>
          <w:szCs w:val="21"/>
        </w:rPr>
        <w:t>日</w:t>
      </w:r>
    </w:p>
    <w:p>
      <w:pPr>
        <w:spacing w:line="360" w:lineRule="auto"/>
        <w:ind w:left="540" w:leftChars="257"/>
        <w:rPr>
          <w:rFonts w:ascii="Times New Roman" w:hAnsi="Times New Roman"/>
          <w:szCs w:val="21"/>
          <w:u w:val="single"/>
        </w:rPr>
      </w:pPr>
    </w:p>
    <w:p>
      <w:pPr>
        <w:spacing w:line="360" w:lineRule="auto"/>
        <w:rPr>
          <w:rFonts w:ascii="Times New Roman" w:hAnsi="Times New Roman"/>
          <w:b/>
          <w:sz w:val="24"/>
          <w:szCs w:val="24"/>
        </w:rPr>
      </w:pPr>
      <w:r>
        <w:rPr>
          <w:rFonts w:hint="eastAsia" w:ascii="Times New Roman" w:hAnsi="Times New Roman"/>
          <w:b/>
          <w:sz w:val="24"/>
          <w:szCs w:val="24"/>
        </w:rPr>
        <w:t>附：要求必须提供代理人身份证扫描件（正反两面）。</w:t>
      </w:r>
    </w:p>
    <w:p>
      <w:pPr>
        <w:spacing w:line="360" w:lineRule="auto"/>
        <w:rPr>
          <w:rFonts w:ascii="黑体" w:eastAsia="黑体"/>
          <w:b/>
          <w:sz w:val="24"/>
        </w:rPr>
      </w:pPr>
    </w:p>
    <w:p>
      <w:pPr>
        <w:keepNext w:val="0"/>
        <w:keepLines w:val="0"/>
        <w:pageBreakBefore w:val="0"/>
        <w:widowControl w:val="0"/>
        <w:kinsoku/>
        <w:wordWrap/>
        <w:overflowPunct/>
        <w:topLinePunct w:val="0"/>
        <w:autoSpaceDE/>
        <w:autoSpaceDN/>
        <w:bidi w:val="0"/>
        <w:spacing w:before="260" w:after="260"/>
        <w:jc w:val="center"/>
        <w:textAlignment w:val="auto"/>
        <w:outlineLvl w:val="2"/>
        <w:rPr>
          <w:rFonts w:ascii="黑体" w:hAnsi="宋体" w:eastAsia="黑体"/>
          <w:bCs/>
          <w:kern w:val="0"/>
          <w:sz w:val="24"/>
          <w:szCs w:val="24"/>
        </w:rPr>
      </w:pPr>
      <w:r>
        <w:rPr>
          <w:rFonts w:hint="eastAsia" w:ascii="黑体" w:hAnsi="宋体" w:eastAsia="黑体"/>
          <w:bCs/>
          <w:kern w:val="0"/>
          <w:sz w:val="24"/>
          <w:szCs w:val="24"/>
        </w:rPr>
        <w:t>八、实质性条款响应情况表</w:t>
      </w:r>
    </w:p>
    <w:tbl>
      <w:tblPr>
        <w:tblStyle w:val="4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563"/>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kern w:val="0"/>
                <w:szCs w:val="21"/>
              </w:rPr>
            </w:pPr>
            <w:r>
              <w:rPr>
                <w:rFonts w:hint="eastAsia" w:ascii="宋体" w:hAnsi="宋体"/>
                <w:kern w:val="0"/>
                <w:szCs w:val="21"/>
              </w:rPr>
              <w:t>序号</w:t>
            </w:r>
          </w:p>
        </w:tc>
        <w:tc>
          <w:tcPr>
            <w:tcW w:w="6563" w:type="dxa"/>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kern w:val="0"/>
                <w:szCs w:val="21"/>
              </w:rPr>
            </w:pPr>
            <w:r>
              <w:rPr>
                <w:rFonts w:hint="eastAsia" w:ascii="宋体" w:hAnsi="宋体"/>
                <w:kern w:val="0"/>
                <w:szCs w:val="21"/>
              </w:rPr>
              <w:t>采购人要求内容</w:t>
            </w:r>
          </w:p>
        </w:tc>
        <w:tc>
          <w:tcPr>
            <w:tcW w:w="1912" w:type="dxa"/>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kern w:val="0"/>
                <w:szCs w:val="21"/>
              </w:rPr>
            </w:pPr>
            <w:r>
              <w:rPr>
                <w:rFonts w:hint="eastAsia" w:ascii="宋体" w:hAnsi="宋体"/>
                <w:kern w:val="0"/>
                <w:szCs w:val="21"/>
              </w:rPr>
              <w:t>投标人响应情况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kern w:val="0"/>
                <w:szCs w:val="21"/>
              </w:rPr>
            </w:pPr>
            <w:r>
              <w:rPr>
                <w:rFonts w:hint="eastAsia" w:ascii="宋体" w:hAnsi="宋体"/>
                <w:kern w:val="0"/>
                <w:szCs w:val="21"/>
              </w:rPr>
              <w:t>1</w:t>
            </w:r>
          </w:p>
        </w:tc>
        <w:tc>
          <w:tcPr>
            <w:tcW w:w="6563" w:type="dxa"/>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imes New Roman" w:hAnsi="宋体"/>
                <w:kern w:val="0"/>
                <w:szCs w:val="21"/>
              </w:rPr>
            </w:pPr>
            <w:r>
              <w:rPr>
                <w:rFonts w:hint="eastAsia" w:ascii="Times New Roman" w:hAnsi="宋体"/>
                <w:kern w:val="0"/>
                <w:szCs w:val="21"/>
              </w:rPr>
              <w:t>项目服务期：自合同签订之日起一年。</w:t>
            </w:r>
          </w:p>
        </w:tc>
        <w:tc>
          <w:tcPr>
            <w:tcW w:w="1912" w:type="dxa"/>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kern w:val="0"/>
                <w:szCs w:val="21"/>
              </w:rPr>
            </w:pPr>
          </w:p>
        </w:tc>
      </w:tr>
    </w:tbl>
    <w:p>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注：1.“</w:t>
      </w:r>
      <w:r>
        <w:rPr>
          <w:rFonts w:hint="eastAsia" w:ascii="宋体" w:hAnsi="宋体"/>
          <w:kern w:val="0"/>
          <w:szCs w:val="21"/>
        </w:rPr>
        <w:t>采购人要求内容</w:t>
      </w:r>
      <w:r>
        <w:rPr>
          <w:rFonts w:hint="eastAsia" w:asciiTheme="minorEastAsia" w:hAnsiTheme="minorEastAsia" w:eastAsiaTheme="minorEastAsia"/>
          <w:bCs/>
          <w:kern w:val="0"/>
          <w:szCs w:val="21"/>
        </w:rPr>
        <w:t>”为</w:t>
      </w:r>
      <w:r>
        <w:rPr>
          <w:rFonts w:hint="eastAsia" w:asciiTheme="minorEastAsia" w:hAnsiTheme="minorEastAsia" w:eastAsiaTheme="minorEastAsia"/>
          <w:b/>
          <w:bCs/>
          <w:kern w:val="0"/>
          <w:szCs w:val="21"/>
          <w:highlight w:val="yellow"/>
        </w:rPr>
        <w:t>“第一册  专用条款/第二章  招标项目需求”</w:t>
      </w:r>
      <w:r>
        <w:rPr>
          <w:rFonts w:hint="eastAsia" w:asciiTheme="minorEastAsia" w:hAnsiTheme="minorEastAsia" w:eastAsiaTheme="minorEastAsia"/>
          <w:bCs/>
          <w:kern w:val="0"/>
          <w:szCs w:val="21"/>
        </w:rPr>
        <w:t>中的不可负偏离条款，即“实质性条款”。</w:t>
      </w:r>
    </w:p>
    <w:p>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2.“投标人响应情况”一栏应如实填写“响应”或“不响应”。</w:t>
      </w:r>
    </w:p>
    <w:p>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3.“实质性条款响应情况表”与投标文件其它内容冲突的，以“实质性条款响应情况表”为准。</w:t>
      </w:r>
    </w:p>
    <w:p>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4.“</w:t>
      </w:r>
      <w:r>
        <w:rPr>
          <w:rFonts w:hint="eastAsia" w:ascii="宋体" w:hAnsi="宋体"/>
          <w:kern w:val="0"/>
          <w:szCs w:val="21"/>
        </w:rPr>
        <w:t>采购人要求内容</w:t>
      </w:r>
      <w:r>
        <w:rPr>
          <w:rFonts w:hint="eastAsia" w:asciiTheme="minorEastAsia" w:hAnsiTheme="minorEastAsia" w:eastAsiaTheme="minorEastAsia"/>
          <w:bCs/>
          <w:kern w:val="0"/>
          <w:szCs w:val="21"/>
        </w:rPr>
        <w:t>”中涉及提供证明材料的，应附在本表后，未提供证明材料或证明材料与响应情况不相符的，按负偏离处理。</w:t>
      </w:r>
    </w:p>
    <w:p>
      <w:pPr>
        <w:keepNext/>
        <w:keepLines/>
        <w:spacing w:before="260" w:after="260"/>
        <w:jc w:val="center"/>
        <w:outlineLvl w:val="2"/>
        <w:rPr>
          <w:rFonts w:ascii="黑体" w:hAnsi="宋体" w:eastAsia="黑体"/>
          <w:bCs/>
          <w:kern w:val="0"/>
          <w:sz w:val="24"/>
          <w:szCs w:val="24"/>
        </w:rPr>
      </w:pPr>
      <w:r>
        <w:rPr>
          <w:rFonts w:hint="eastAsia" w:ascii="黑体" w:hAnsi="宋体" w:eastAsia="黑体"/>
          <w:bCs/>
          <w:kern w:val="0"/>
          <w:sz w:val="24"/>
          <w:szCs w:val="24"/>
        </w:rPr>
        <w:t>九、详细分项报价清单</w:t>
      </w:r>
    </w:p>
    <w:tbl>
      <w:tblPr>
        <w:tblStyle w:val="43"/>
        <w:tblW w:w="92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249"/>
        <w:gridCol w:w="2835"/>
        <w:gridCol w:w="23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pPr>
              <w:adjustRightInd w:val="0"/>
              <w:snapToGrid w:val="0"/>
              <w:spacing w:line="300" w:lineRule="auto"/>
              <w:jc w:val="center"/>
              <w:rPr>
                <w:b/>
                <w:snapToGrid w:val="0"/>
                <w:kern w:val="0"/>
              </w:rPr>
            </w:pPr>
            <w:r>
              <w:rPr>
                <w:b/>
                <w:snapToGrid w:val="0"/>
                <w:kern w:val="0"/>
              </w:rPr>
              <w:t>序号</w:t>
            </w:r>
          </w:p>
        </w:tc>
        <w:tc>
          <w:tcPr>
            <w:tcW w:w="3249" w:type="dxa"/>
            <w:vAlign w:val="center"/>
          </w:tcPr>
          <w:p>
            <w:pPr>
              <w:adjustRightInd w:val="0"/>
              <w:snapToGrid w:val="0"/>
              <w:spacing w:line="300" w:lineRule="auto"/>
              <w:jc w:val="center"/>
              <w:rPr>
                <w:b/>
                <w:snapToGrid w:val="0"/>
                <w:kern w:val="0"/>
              </w:rPr>
            </w:pPr>
            <w:r>
              <w:rPr>
                <w:rFonts w:hint="eastAsia"/>
                <w:b/>
                <w:snapToGrid w:val="0"/>
                <w:kern w:val="0"/>
              </w:rPr>
              <w:t>项目内容</w:t>
            </w:r>
          </w:p>
        </w:tc>
        <w:tc>
          <w:tcPr>
            <w:tcW w:w="2835" w:type="dxa"/>
            <w:vAlign w:val="center"/>
          </w:tcPr>
          <w:p>
            <w:pPr>
              <w:adjustRightInd w:val="0"/>
              <w:snapToGrid w:val="0"/>
              <w:spacing w:line="300" w:lineRule="auto"/>
              <w:jc w:val="center"/>
              <w:rPr>
                <w:b/>
                <w:snapToGrid w:val="0"/>
                <w:kern w:val="0"/>
              </w:rPr>
            </w:pPr>
            <w:r>
              <w:rPr>
                <w:rFonts w:hint="eastAsia"/>
                <w:b/>
                <w:snapToGrid w:val="0"/>
                <w:kern w:val="0"/>
              </w:rPr>
              <w:t>费用</w:t>
            </w:r>
            <w:r>
              <w:rPr>
                <w:b/>
                <w:snapToGrid w:val="0"/>
                <w:kern w:val="0"/>
              </w:rPr>
              <w:t>（单位：</w:t>
            </w:r>
            <w:r>
              <w:rPr>
                <w:rFonts w:hint="eastAsia"/>
                <w:b/>
                <w:snapToGrid w:val="0"/>
                <w:kern w:val="0"/>
              </w:rPr>
              <w:t>人民币</w:t>
            </w:r>
            <w:r>
              <w:rPr>
                <w:b/>
                <w:snapToGrid w:val="0"/>
                <w:kern w:val="0"/>
              </w:rPr>
              <w:t>元）</w:t>
            </w:r>
          </w:p>
        </w:tc>
        <w:tc>
          <w:tcPr>
            <w:tcW w:w="2376" w:type="dxa"/>
            <w:vAlign w:val="center"/>
          </w:tcPr>
          <w:p>
            <w:pPr>
              <w:adjustRightInd w:val="0"/>
              <w:snapToGrid w:val="0"/>
              <w:spacing w:line="300" w:lineRule="auto"/>
              <w:jc w:val="center"/>
              <w:rPr>
                <w:b/>
                <w:snapToGrid w:val="0"/>
                <w:kern w:val="0"/>
              </w:rPr>
            </w:pPr>
            <w:r>
              <w:rPr>
                <w:rFonts w:hint="eastAsia"/>
                <w:b/>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828" w:type="dxa"/>
            <w:vAlign w:val="center"/>
          </w:tcPr>
          <w:p>
            <w:pPr>
              <w:adjustRightInd w:val="0"/>
              <w:snapToGrid w:val="0"/>
              <w:spacing w:line="300" w:lineRule="auto"/>
              <w:jc w:val="center"/>
              <w:rPr>
                <w:snapToGrid w:val="0"/>
                <w:kern w:val="0"/>
              </w:rPr>
            </w:pPr>
            <w:r>
              <w:rPr>
                <w:snapToGrid w:val="0"/>
                <w:kern w:val="0"/>
              </w:rPr>
              <w:t>1</w:t>
            </w:r>
          </w:p>
        </w:tc>
        <w:tc>
          <w:tcPr>
            <w:tcW w:w="3249" w:type="dxa"/>
            <w:vAlign w:val="center"/>
          </w:tcPr>
          <w:p>
            <w:pPr>
              <w:adjustRightInd w:val="0"/>
              <w:snapToGrid w:val="0"/>
              <w:spacing w:line="300" w:lineRule="auto"/>
              <w:rPr>
                <w:snapToGrid w:val="0"/>
                <w:kern w:val="0"/>
              </w:rPr>
            </w:pPr>
          </w:p>
        </w:tc>
        <w:tc>
          <w:tcPr>
            <w:tcW w:w="2835"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828" w:type="dxa"/>
            <w:vAlign w:val="center"/>
          </w:tcPr>
          <w:p>
            <w:pPr>
              <w:adjustRightInd w:val="0"/>
              <w:snapToGrid w:val="0"/>
              <w:spacing w:line="300" w:lineRule="auto"/>
              <w:jc w:val="center"/>
              <w:rPr>
                <w:snapToGrid w:val="0"/>
                <w:kern w:val="0"/>
              </w:rPr>
            </w:pPr>
            <w:r>
              <w:rPr>
                <w:rFonts w:hint="eastAsia"/>
                <w:snapToGrid w:val="0"/>
                <w:kern w:val="0"/>
              </w:rPr>
              <w:t>2</w:t>
            </w:r>
          </w:p>
        </w:tc>
        <w:tc>
          <w:tcPr>
            <w:tcW w:w="3249" w:type="dxa"/>
            <w:vAlign w:val="center"/>
          </w:tcPr>
          <w:p>
            <w:pPr>
              <w:adjustRightInd w:val="0"/>
              <w:snapToGrid w:val="0"/>
              <w:spacing w:line="300" w:lineRule="auto"/>
              <w:rPr>
                <w:rFonts w:ascii="宋体" w:hAnsi="宋体"/>
                <w:szCs w:val="21"/>
                <w:lang w:val="zh-CN"/>
              </w:rPr>
            </w:pPr>
          </w:p>
        </w:tc>
        <w:tc>
          <w:tcPr>
            <w:tcW w:w="2835"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828" w:type="dxa"/>
            <w:vAlign w:val="center"/>
          </w:tcPr>
          <w:p>
            <w:pPr>
              <w:adjustRightInd w:val="0"/>
              <w:snapToGrid w:val="0"/>
              <w:spacing w:line="300" w:lineRule="auto"/>
              <w:jc w:val="center"/>
              <w:rPr>
                <w:snapToGrid w:val="0"/>
                <w:kern w:val="0"/>
              </w:rPr>
            </w:pPr>
            <w:r>
              <w:rPr>
                <w:rFonts w:hint="eastAsia"/>
                <w:snapToGrid w:val="0"/>
                <w:kern w:val="0"/>
              </w:rPr>
              <w:t>3</w:t>
            </w:r>
          </w:p>
        </w:tc>
        <w:tc>
          <w:tcPr>
            <w:tcW w:w="3249" w:type="dxa"/>
            <w:vAlign w:val="center"/>
          </w:tcPr>
          <w:p>
            <w:pPr>
              <w:adjustRightInd w:val="0"/>
              <w:snapToGrid w:val="0"/>
              <w:spacing w:line="300" w:lineRule="auto"/>
              <w:rPr>
                <w:rFonts w:ascii="宋体" w:hAnsi="宋体"/>
                <w:szCs w:val="21"/>
                <w:lang w:val="zh-CN"/>
              </w:rPr>
            </w:pPr>
          </w:p>
        </w:tc>
        <w:tc>
          <w:tcPr>
            <w:tcW w:w="2835"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828" w:type="dxa"/>
            <w:vAlign w:val="center"/>
          </w:tcPr>
          <w:p>
            <w:pPr>
              <w:adjustRightInd w:val="0"/>
              <w:snapToGrid w:val="0"/>
              <w:spacing w:line="300" w:lineRule="auto"/>
              <w:jc w:val="center"/>
              <w:rPr>
                <w:snapToGrid w:val="0"/>
                <w:kern w:val="0"/>
              </w:rPr>
            </w:pPr>
            <w:r>
              <w:rPr>
                <w:rFonts w:hint="eastAsia"/>
                <w:snapToGrid w:val="0"/>
                <w:kern w:val="0"/>
              </w:rPr>
              <w:t>4</w:t>
            </w:r>
          </w:p>
        </w:tc>
        <w:tc>
          <w:tcPr>
            <w:tcW w:w="3249" w:type="dxa"/>
            <w:vAlign w:val="center"/>
          </w:tcPr>
          <w:p>
            <w:pPr>
              <w:adjustRightInd w:val="0"/>
              <w:snapToGrid w:val="0"/>
              <w:spacing w:line="300" w:lineRule="auto"/>
              <w:rPr>
                <w:rFonts w:ascii="宋体" w:hAnsi="宋体"/>
                <w:szCs w:val="21"/>
                <w:lang w:val="zh-CN"/>
              </w:rPr>
            </w:pPr>
          </w:p>
        </w:tc>
        <w:tc>
          <w:tcPr>
            <w:tcW w:w="2835"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077" w:type="dxa"/>
            <w:gridSpan w:val="2"/>
            <w:vAlign w:val="center"/>
          </w:tcPr>
          <w:p>
            <w:pPr>
              <w:adjustRightInd w:val="0"/>
              <w:snapToGrid w:val="0"/>
              <w:spacing w:line="300" w:lineRule="auto"/>
              <w:jc w:val="center"/>
              <w:rPr>
                <w:snapToGrid w:val="0"/>
                <w:kern w:val="0"/>
              </w:rPr>
            </w:pPr>
            <w:r>
              <w:rPr>
                <w:snapToGrid w:val="0"/>
                <w:kern w:val="0"/>
              </w:rPr>
              <w:t>合   计</w:t>
            </w:r>
            <w:r>
              <w:rPr>
                <w:rFonts w:hint="eastAsia"/>
                <w:snapToGrid w:val="0"/>
                <w:kern w:val="0"/>
              </w:rPr>
              <w:t>（</w:t>
            </w:r>
            <w:r>
              <w:rPr>
                <w:rFonts w:hint="eastAsia" w:ascii="宋体" w:hAnsi="宋体"/>
                <w:szCs w:val="21"/>
              </w:rPr>
              <w:t>即投标总价</w:t>
            </w:r>
            <w:r>
              <w:rPr>
                <w:rFonts w:hint="eastAsia"/>
                <w:snapToGrid w:val="0"/>
                <w:kern w:val="0"/>
              </w:rPr>
              <w:t>）</w:t>
            </w:r>
          </w:p>
        </w:tc>
        <w:tc>
          <w:tcPr>
            <w:tcW w:w="2835"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bl>
    <w:p>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注：1、本表格仅为指导性范本，供应商可根据项目具体情况对各分项内容进行调整。</w:t>
      </w:r>
    </w:p>
    <w:p>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2、投标总价应为以上各分项价格之和。</w:t>
      </w:r>
    </w:p>
    <w:p>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3、开标一览表的投标总价必须与以上分项报价清单的投标总价一致。</w:t>
      </w:r>
    </w:p>
    <w:p>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4、</w:t>
      </w:r>
      <w:r>
        <w:rPr>
          <w:rFonts w:hint="eastAsia" w:ascii="宋体" w:hAnsi="宋体"/>
          <w:szCs w:val="21"/>
        </w:rPr>
        <w:t>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keepLines/>
        <w:tabs>
          <w:tab w:val="left" w:pos="765"/>
        </w:tabs>
        <w:spacing w:line="376" w:lineRule="auto"/>
        <w:outlineLvl w:val="3"/>
        <w:rPr>
          <w:rFonts w:asciiTheme="minorEastAsia" w:hAnsiTheme="minorEastAsia" w:eastAsiaTheme="minorEastAsia"/>
          <w:bCs/>
          <w:kern w:val="0"/>
          <w:szCs w:val="21"/>
        </w:rPr>
      </w:pPr>
    </w:p>
    <w:p>
      <w:pPr>
        <w:keepNext w:val="0"/>
        <w:keepLines w:val="0"/>
        <w:pageBreakBefore w:val="0"/>
        <w:widowControl w:val="0"/>
        <w:kinsoku/>
        <w:wordWrap/>
        <w:overflowPunct/>
        <w:topLinePunct w:val="0"/>
        <w:autoSpaceDE/>
        <w:autoSpaceDN/>
        <w:bidi w:val="0"/>
        <w:adjustRightInd/>
        <w:snapToGrid/>
        <w:spacing w:afterLines="50"/>
        <w:jc w:val="center"/>
        <w:textAlignment w:val="auto"/>
        <w:rPr>
          <w:rFonts w:ascii="黑体" w:hAnsi="宋体" w:eastAsia="黑体"/>
          <w:bCs/>
          <w:kern w:val="0"/>
          <w:sz w:val="24"/>
          <w:szCs w:val="24"/>
        </w:rPr>
      </w:pPr>
      <w:r>
        <w:rPr>
          <w:rFonts w:hint="eastAsia" w:ascii="黑体" w:hAnsi="宋体" w:eastAsia="黑体"/>
          <w:bCs/>
          <w:kern w:val="0"/>
          <w:sz w:val="24"/>
          <w:szCs w:val="24"/>
        </w:rPr>
        <w:t>十、服务要求偏离表</w:t>
      </w:r>
    </w:p>
    <w:tbl>
      <w:tblPr>
        <w:tblStyle w:val="43"/>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5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szCs w:val="21"/>
              </w:rPr>
            </w:pPr>
            <w:r>
              <w:rPr>
                <w:rFonts w:hint="eastAsia" w:ascii="宋体" w:hAnsi="宋体"/>
                <w:szCs w:val="21"/>
              </w:rPr>
              <w:t>序号</w:t>
            </w:r>
          </w:p>
        </w:tc>
        <w:tc>
          <w:tcPr>
            <w:tcW w:w="255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szCs w:val="21"/>
              </w:rPr>
            </w:pPr>
            <w:r>
              <w:rPr>
                <w:rFonts w:hint="eastAsia" w:ascii="宋体" w:hAnsi="宋体"/>
                <w:szCs w:val="21"/>
              </w:rPr>
              <w:t>招标文件服务要求</w:t>
            </w:r>
          </w:p>
        </w:tc>
        <w:tc>
          <w:tcPr>
            <w:tcW w:w="198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szCs w:val="21"/>
              </w:rPr>
            </w:pPr>
            <w:r>
              <w:rPr>
                <w:rFonts w:hint="eastAsia" w:ascii="宋体" w:hAnsi="宋体"/>
                <w:szCs w:val="21"/>
              </w:rPr>
              <w:t>投标文件服务响应</w:t>
            </w:r>
          </w:p>
        </w:tc>
        <w:tc>
          <w:tcPr>
            <w:tcW w:w="127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szCs w:val="21"/>
              </w:rPr>
            </w:pPr>
            <w:r>
              <w:rPr>
                <w:rFonts w:hint="eastAsia" w:ascii="宋体" w:hAnsi="宋体"/>
                <w:szCs w:val="21"/>
              </w:rPr>
              <w:t>偏离情况</w:t>
            </w:r>
          </w:p>
        </w:tc>
        <w:tc>
          <w:tcPr>
            <w:tcW w:w="255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pPr>
              <w:keepNext w:val="0"/>
              <w:keepLines w:val="0"/>
              <w:pageBreakBefore w:val="0"/>
              <w:widowControl w:val="0"/>
              <w:kinsoku/>
              <w:wordWrap/>
              <w:overflowPunct/>
              <w:topLinePunct w:val="0"/>
              <w:autoSpaceDE/>
              <w:autoSpaceDN/>
              <w:bidi w:val="0"/>
              <w:adjustRightInd/>
              <w:snapToGrid/>
              <w:textAlignment w:val="auto"/>
              <w:rPr>
                <w:sz w:val="24"/>
              </w:rPr>
            </w:pPr>
          </w:p>
        </w:tc>
        <w:tc>
          <w:tcPr>
            <w:tcW w:w="2551" w:type="dxa"/>
          </w:tcPr>
          <w:p>
            <w:pPr>
              <w:keepNext w:val="0"/>
              <w:keepLines w:val="0"/>
              <w:pageBreakBefore w:val="0"/>
              <w:widowControl w:val="0"/>
              <w:kinsoku/>
              <w:wordWrap/>
              <w:overflowPunct/>
              <w:topLinePunct w:val="0"/>
              <w:autoSpaceDE/>
              <w:autoSpaceDN/>
              <w:bidi w:val="0"/>
              <w:adjustRightInd/>
              <w:snapToGrid/>
              <w:textAlignment w:val="auto"/>
              <w:rPr>
                <w:sz w:val="24"/>
              </w:rPr>
            </w:pPr>
          </w:p>
        </w:tc>
        <w:tc>
          <w:tcPr>
            <w:tcW w:w="1985" w:type="dxa"/>
          </w:tcPr>
          <w:p>
            <w:pPr>
              <w:keepNext w:val="0"/>
              <w:keepLines w:val="0"/>
              <w:pageBreakBefore w:val="0"/>
              <w:widowControl w:val="0"/>
              <w:kinsoku/>
              <w:wordWrap/>
              <w:overflowPunct/>
              <w:topLinePunct w:val="0"/>
              <w:autoSpaceDE/>
              <w:autoSpaceDN/>
              <w:bidi w:val="0"/>
              <w:adjustRightInd/>
              <w:snapToGrid/>
              <w:textAlignment w:val="auto"/>
              <w:rPr>
                <w:sz w:val="24"/>
              </w:rPr>
            </w:pPr>
          </w:p>
        </w:tc>
        <w:tc>
          <w:tcPr>
            <w:tcW w:w="1276" w:type="dxa"/>
          </w:tcPr>
          <w:p>
            <w:pPr>
              <w:keepNext w:val="0"/>
              <w:keepLines w:val="0"/>
              <w:pageBreakBefore w:val="0"/>
              <w:widowControl w:val="0"/>
              <w:kinsoku/>
              <w:wordWrap/>
              <w:overflowPunct/>
              <w:topLinePunct w:val="0"/>
              <w:autoSpaceDE/>
              <w:autoSpaceDN/>
              <w:bidi w:val="0"/>
              <w:adjustRightInd/>
              <w:snapToGrid/>
              <w:textAlignment w:val="auto"/>
              <w:rPr>
                <w:sz w:val="24"/>
              </w:rPr>
            </w:pPr>
          </w:p>
        </w:tc>
        <w:tc>
          <w:tcPr>
            <w:tcW w:w="2551" w:type="dxa"/>
          </w:tcPr>
          <w:p>
            <w:pPr>
              <w:keepNext w:val="0"/>
              <w:keepLines w:val="0"/>
              <w:pageBreakBefore w:val="0"/>
              <w:widowControl w:val="0"/>
              <w:kinsoku/>
              <w:wordWrap/>
              <w:overflowPunct/>
              <w:topLinePunct w:val="0"/>
              <w:autoSpaceDE/>
              <w:autoSpaceDN/>
              <w:bidi w:val="0"/>
              <w:adjustRightInd/>
              <w:snapToGrid/>
              <w:textAlignment w:val="auto"/>
              <w:rPr>
                <w:szCs w:val="21"/>
              </w:rPr>
            </w:pPr>
            <w:r>
              <w:rPr>
                <w:rFonts w:hint="eastAsia"/>
                <w:szCs w:val="21"/>
              </w:rPr>
              <w:t>如需附证明文件，应在“说明”栏填写证明文件对应名称和页码。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pPr>
              <w:keepNext w:val="0"/>
              <w:keepLines w:val="0"/>
              <w:pageBreakBefore w:val="0"/>
              <w:widowControl w:val="0"/>
              <w:kinsoku/>
              <w:wordWrap/>
              <w:overflowPunct/>
              <w:topLinePunct w:val="0"/>
              <w:autoSpaceDE/>
              <w:autoSpaceDN/>
              <w:bidi w:val="0"/>
              <w:adjustRightInd/>
              <w:snapToGrid/>
              <w:textAlignment w:val="auto"/>
              <w:rPr>
                <w:sz w:val="24"/>
              </w:rPr>
            </w:pPr>
          </w:p>
        </w:tc>
        <w:tc>
          <w:tcPr>
            <w:tcW w:w="2551" w:type="dxa"/>
          </w:tcPr>
          <w:p>
            <w:pPr>
              <w:keepNext w:val="0"/>
              <w:keepLines w:val="0"/>
              <w:pageBreakBefore w:val="0"/>
              <w:widowControl w:val="0"/>
              <w:kinsoku/>
              <w:wordWrap/>
              <w:overflowPunct/>
              <w:topLinePunct w:val="0"/>
              <w:autoSpaceDE/>
              <w:autoSpaceDN/>
              <w:bidi w:val="0"/>
              <w:adjustRightInd/>
              <w:snapToGrid/>
              <w:textAlignment w:val="auto"/>
              <w:rPr>
                <w:sz w:val="24"/>
              </w:rPr>
            </w:pPr>
          </w:p>
        </w:tc>
        <w:tc>
          <w:tcPr>
            <w:tcW w:w="1985" w:type="dxa"/>
          </w:tcPr>
          <w:p>
            <w:pPr>
              <w:keepNext w:val="0"/>
              <w:keepLines w:val="0"/>
              <w:pageBreakBefore w:val="0"/>
              <w:widowControl w:val="0"/>
              <w:kinsoku/>
              <w:wordWrap/>
              <w:overflowPunct/>
              <w:topLinePunct w:val="0"/>
              <w:autoSpaceDE/>
              <w:autoSpaceDN/>
              <w:bidi w:val="0"/>
              <w:adjustRightInd/>
              <w:snapToGrid/>
              <w:textAlignment w:val="auto"/>
              <w:rPr>
                <w:sz w:val="24"/>
              </w:rPr>
            </w:pPr>
          </w:p>
        </w:tc>
        <w:tc>
          <w:tcPr>
            <w:tcW w:w="1276" w:type="dxa"/>
          </w:tcPr>
          <w:p>
            <w:pPr>
              <w:keepNext w:val="0"/>
              <w:keepLines w:val="0"/>
              <w:pageBreakBefore w:val="0"/>
              <w:widowControl w:val="0"/>
              <w:kinsoku/>
              <w:wordWrap/>
              <w:overflowPunct/>
              <w:topLinePunct w:val="0"/>
              <w:autoSpaceDE/>
              <w:autoSpaceDN/>
              <w:bidi w:val="0"/>
              <w:adjustRightInd/>
              <w:snapToGrid/>
              <w:textAlignment w:val="auto"/>
              <w:rPr>
                <w:sz w:val="24"/>
              </w:rPr>
            </w:pPr>
          </w:p>
        </w:tc>
        <w:tc>
          <w:tcPr>
            <w:tcW w:w="2551" w:type="dxa"/>
          </w:tcPr>
          <w:p>
            <w:pPr>
              <w:keepNext w:val="0"/>
              <w:keepLines w:val="0"/>
              <w:pageBreakBefore w:val="0"/>
              <w:widowControl w:val="0"/>
              <w:kinsoku/>
              <w:wordWrap/>
              <w:overflowPunct/>
              <w:topLinePunct w:val="0"/>
              <w:autoSpaceDE/>
              <w:autoSpaceDN/>
              <w:bidi w:val="0"/>
              <w:adjustRightInd/>
              <w:snapToGrid/>
              <w:textAlignment w:val="auto"/>
              <w:rPr>
                <w:sz w:val="24"/>
              </w:rPr>
            </w:pPr>
          </w:p>
        </w:tc>
      </w:tr>
    </w:tbl>
    <w:p>
      <w:pPr>
        <w:keepNext w:val="0"/>
        <w:keepLines w:val="0"/>
        <w:pageBreakBefore w:val="0"/>
        <w:widowControl w:val="0"/>
        <w:tabs>
          <w:tab w:val="left" w:pos="765"/>
        </w:tabs>
        <w:kinsoku/>
        <w:wordWrap/>
        <w:overflowPunct/>
        <w:topLinePunct w:val="0"/>
        <w:autoSpaceDE/>
        <w:autoSpaceDN/>
        <w:bidi w:val="0"/>
        <w:adjustRightInd/>
        <w:snapToGrid/>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备注：</w:t>
      </w:r>
    </w:p>
    <w:p>
      <w:pPr>
        <w:keepNext w:val="0"/>
        <w:keepLines w:val="0"/>
        <w:pageBreakBefore w:val="0"/>
        <w:widowControl w:val="0"/>
        <w:tabs>
          <w:tab w:val="left" w:pos="765"/>
        </w:tabs>
        <w:kinsoku/>
        <w:wordWrap/>
        <w:overflowPunct/>
        <w:topLinePunct w:val="0"/>
        <w:autoSpaceDE/>
        <w:autoSpaceDN/>
        <w:bidi w:val="0"/>
        <w:adjustRightInd/>
        <w:snapToGrid/>
        <w:spacing w:line="376" w:lineRule="auto"/>
        <w:textAlignment w:val="auto"/>
        <w:outlineLvl w:val="3"/>
        <w:rPr>
          <w:rFonts w:asciiTheme="minorEastAsia" w:hAnsiTheme="minorEastAsia" w:eastAsiaTheme="minorEastAsia"/>
          <w:bCs/>
          <w:kern w:val="0"/>
          <w:szCs w:val="21"/>
        </w:rPr>
      </w:pPr>
      <w:r>
        <w:rPr>
          <w:rFonts w:asciiTheme="minorEastAsia" w:hAnsiTheme="minorEastAsia" w:eastAsiaTheme="minorEastAsia"/>
          <w:bCs/>
          <w:kern w:val="0"/>
          <w:szCs w:val="21"/>
        </w:rPr>
        <w:t>1</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“招标文件服务要求”一栏填写招标文件第二章“招标项目需求”</w:t>
      </w:r>
      <w:r>
        <w:rPr>
          <w:rFonts w:asciiTheme="minorEastAsia" w:hAnsiTheme="minorEastAsia" w:eastAsiaTheme="minorEastAsia"/>
          <w:b/>
          <w:bCs/>
          <w:kern w:val="0"/>
          <w:szCs w:val="21"/>
          <w:highlight w:val="yellow"/>
        </w:rPr>
        <w:t>“</w:t>
      </w:r>
      <w:r>
        <w:rPr>
          <w:rFonts w:hint="eastAsia" w:asciiTheme="minorEastAsia" w:hAnsiTheme="minorEastAsia" w:eastAsiaTheme="minorEastAsia"/>
          <w:b/>
          <w:bCs/>
          <w:kern w:val="0"/>
          <w:szCs w:val="21"/>
          <w:highlight w:val="yellow"/>
        </w:rPr>
        <w:t>四、项目</w:t>
      </w:r>
      <w:r>
        <w:rPr>
          <w:rFonts w:asciiTheme="minorEastAsia" w:hAnsiTheme="minorEastAsia" w:eastAsiaTheme="minorEastAsia"/>
          <w:b/>
          <w:bCs/>
          <w:kern w:val="0"/>
          <w:szCs w:val="21"/>
          <w:highlight w:val="yellow"/>
        </w:rPr>
        <w:t>服务</w:t>
      </w:r>
      <w:r>
        <w:rPr>
          <w:rFonts w:hint="eastAsia" w:asciiTheme="minorEastAsia" w:hAnsiTheme="minorEastAsia" w:eastAsiaTheme="minorEastAsia"/>
          <w:b/>
          <w:bCs/>
          <w:kern w:val="0"/>
          <w:szCs w:val="21"/>
          <w:highlight w:val="yellow"/>
        </w:rPr>
        <w:t>要求</w:t>
      </w:r>
      <w:r>
        <w:rPr>
          <w:rFonts w:asciiTheme="minorEastAsia" w:hAnsiTheme="minorEastAsia" w:eastAsiaTheme="minorEastAsia"/>
          <w:b/>
          <w:bCs/>
          <w:kern w:val="0"/>
          <w:szCs w:val="21"/>
          <w:highlight w:val="yellow"/>
        </w:rPr>
        <w:t>”</w:t>
      </w:r>
      <w:r>
        <w:rPr>
          <w:rFonts w:asciiTheme="minorEastAsia" w:hAnsiTheme="minorEastAsia" w:eastAsiaTheme="minorEastAsia"/>
          <w:bCs/>
          <w:kern w:val="0"/>
          <w:szCs w:val="21"/>
        </w:rPr>
        <w:t>的内容。</w:t>
      </w:r>
    </w:p>
    <w:p>
      <w:pPr>
        <w:keepNext w:val="0"/>
        <w:keepLines w:val="0"/>
        <w:pageBreakBefore w:val="0"/>
        <w:widowControl w:val="0"/>
        <w:tabs>
          <w:tab w:val="left" w:pos="765"/>
        </w:tabs>
        <w:kinsoku/>
        <w:wordWrap/>
        <w:overflowPunct/>
        <w:topLinePunct w:val="0"/>
        <w:autoSpaceDE/>
        <w:autoSpaceDN/>
        <w:bidi w:val="0"/>
        <w:adjustRightInd/>
        <w:snapToGrid/>
        <w:spacing w:line="376" w:lineRule="auto"/>
        <w:textAlignment w:val="auto"/>
        <w:outlineLvl w:val="3"/>
        <w:rPr>
          <w:rFonts w:asciiTheme="minorEastAsia" w:hAnsiTheme="minorEastAsia" w:eastAsiaTheme="minorEastAsia"/>
          <w:bCs/>
          <w:kern w:val="0"/>
          <w:szCs w:val="21"/>
        </w:rPr>
      </w:pPr>
      <w:r>
        <w:rPr>
          <w:rFonts w:asciiTheme="minorEastAsia" w:hAnsiTheme="minorEastAsia" w:eastAsiaTheme="minorEastAsia"/>
          <w:bCs/>
          <w:kern w:val="0"/>
          <w:szCs w:val="21"/>
        </w:rPr>
        <w:t>2</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“投标文件服务</w:t>
      </w:r>
      <w:r>
        <w:rPr>
          <w:rFonts w:hint="eastAsia" w:asciiTheme="minorEastAsia" w:hAnsiTheme="minorEastAsia" w:eastAsiaTheme="minorEastAsia"/>
          <w:bCs/>
          <w:kern w:val="0"/>
          <w:szCs w:val="21"/>
        </w:rPr>
        <w:t>响应</w:t>
      </w:r>
      <w:r>
        <w:rPr>
          <w:rFonts w:asciiTheme="minorEastAsia" w:hAnsiTheme="minorEastAsia" w:eastAsiaTheme="minorEastAsia"/>
          <w:bCs/>
          <w:kern w:val="0"/>
          <w:szCs w:val="21"/>
        </w:rPr>
        <w:t>”一栏详细填写响应情况，并应对照</w:t>
      </w:r>
      <w:r>
        <w:rPr>
          <w:rFonts w:hint="eastAsia" w:asciiTheme="minorEastAsia" w:hAnsiTheme="minorEastAsia" w:eastAsiaTheme="minorEastAsia"/>
          <w:bCs/>
          <w:kern w:val="0"/>
          <w:szCs w:val="21"/>
        </w:rPr>
        <w:t>招</w:t>
      </w:r>
      <w:r>
        <w:rPr>
          <w:rFonts w:asciiTheme="minorEastAsia" w:hAnsiTheme="minorEastAsia" w:eastAsiaTheme="minorEastAsia"/>
          <w:bCs/>
          <w:kern w:val="0"/>
          <w:szCs w:val="21"/>
        </w:rPr>
        <w:t>标文件</w:t>
      </w:r>
      <w:r>
        <w:rPr>
          <w:rFonts w:hint="eastAsia" w:asciiTheme="minorEastAsia" w:hAnsiTheme="minorEastAsia" w:eastAsiaTheme="minorEastAsia"/>
          <w:bCs/>
          <w:kern w:val="0"/>
          <w:szCs w:val="21"/>
        </w:rPr>
        <w:t>服务</w:t>
      </w:r>
      <w:r>
        <w:rPr>
          <w:rFonts w:asciiTheme="minorEastAsia" w:hAnsiTheme="minorEastAsia" w:eastAsiaTheme="minorEastAsia"/>
          <w:bCs/>
          <w:kern w:val="0"/>
          <w:szCs w:val="21"/>
        </w:rPr>
        <w:t>要求一一对应响应。</w:t>
      </w:r>
    </w:p>
    <w:p>
      <w:pPr>
        <w:keepNext w:val="0"/>
        <w:keepLines w:val="0"/>
        <w:pageBreakBefore w:val="0"/>
        <w:widowControl w:val="0"/>
        <w:tabs>
          <w:tab w:val="left" w:pos="765"/>
        </w:tabs>
        <w:kinsoku/>
        <w:wordWrap/>
        <w:overflowPunct/>
        <w:topLinePunct w:val="0"/>
        <w:autoSpaceDE/>
        <w:autoSpaceDN/>
        <w:bidi w:val="0"/>
        <w:adjustRightInd/>
        <w:snapToGrid/>
        <w:spacing w:line="376" w:lineRule="auto"/>
        <w:textAlignment w:val="auto"/>
        <w:outlineLvl w:val="3"/>
        <w:rPr>
          <w:rFonts w:asciiTheme="minorEastAsia" w:hAnsiTheme="minorEastAsia" w:eastAsiaTheme="minorEastAsia"/>
          <w:bCs/>
          <w:kern w:val="0"/>
          <w:szCs w:val="21"/>
        </w:rPr>
      </w:pPr>
      <w:r>
        <w:rPr>
          <w:rFonts w:asciiTheme="minorEastAsia" w:hAnsiTheme="minorEastAsia" w:eastAsiaTheme="minorEastAsia"/>
          <w:bCs/>
          <w:kern w:val="0"/>
          <w:szCs w:val="21"/>
        </w:rPr>
        <w:t>3</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“偏离情况”一栏应如实填写“正偏离”、“负偏离”或“无偏离”。</w:t>
      </w:r>
    </w:p>
    <w:p>
      <w:pPr>
        <w:keepNext w:val="0"/>
        <w:keepLines w:val="0"/>
        <w:pageBreakBefore w:val="0"/>
        <w:widowControl w:val="0"/>
        <w:tabs>
          <w:tab w:val="left" w:pos="765"/>
        </w:tabs>
        <w:kinsoku/>
        <w:wordWrap/>
        <w:overflowPunct/>
        <w:topLinePunct w:val="0"/>
        <w:autoSpaceDE/>
        <w:autoSpaceDN/>
        <w:bidi w:val="0"/>
        <w:adjustRightInd/>
        <w:snapToGrid/>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4、对于实质性条款，投标文件响应为“负偏离”的，投标文件将作投标无效处理</w:t>
      </w:r>
      <w:r>
        <w:rPr>
          <w:rFonts w:asciiTheme="minorEastAsia" w:hAnsiTheme="minorEastAsia" w:eastAsiaTheme="minorEastAsia"/>
          <w:bCs/>
          <w:kern w:val="0"/>
          <w:szCs w:val="21"/>
        </w:rPr>
        <w:t>。</w:t>
      </w:r>
    </w:p>
    <w:p>
      <w:pPr>
        <w:keepNext w:val="0"/>
        <w:keepLines w:val="0"/>
        <w:pageBreakBefore w:val="0"/>
        <w:widowControl w:val="0"/>
        <w:tabs>
          <w:tab w:val="left" w:pos="765"/>
        </w:tabs>
        <w:kinsoku/>
        <w:wordWrap/>
        <w:overflowPunct/>
        <w:topLinePunct w:val="0"/>
        <w:autoSpaceDE/>
        <w:autoSpaceDN/>
        <w:bidi w:val="0"/>
        <w:adjustRightInd/>
        <w:snapToGrid/>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5、如招标文件要求提供证明材料的，投标文件需提供相应证明材料扫描件（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pPr>
        <w:spacing w:afterLines="50"/>
        <w:jc w:val="center"/>
        <w:rPr>
          <w:rFonts w:ascii="黑体" w:hAnsi="宋体" w:eastAsia="黑体"/>
          <w:bCs/>
          <w:kern w:val="0"/>
          <w:sz w:val="24"/>
          <w:szCs w:val="24"/>
        </w:rPr>
      </w:pPr>
      <w:r>
        <w:rPr>
          <w:rFonts w:hint="eastAsia" w:ascii="黑体" w:hAnsi="宋体" w:eastAsia="黑体"/>
          <w:bCs/>
          <w:kern w:val="0"/>
          <w:sz w:val="24"/>
          <w:szCs w:val="24"/>
        </w:rPr>
        <w:t>十一、商务要求偏离表</w:t>
      </w:r>
    </w:p>
    <w:tbl>
      <w:tblPr>
        <w:tblStyle w:val="43"/>
        <w:tblW w:w="91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2551"/>
        <w:gridCol w:w="1344"/>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1" w:type="dxa"/>
            <w:vAlign w:val="center"/>
          </w:tcPr>
          <w:p>
            <w:pPr>
              <w:jc w:val="center"/>
              <w:rPr>
                <w:rFonts w:ascii="宋体" w:hAnsi="宋体"/>
                <w:szCs w:val="21"/>
              </w:rPr>
            </w:pPr>
            <w:r>
              <w:rPr>
                <w:rFonts w:hint="eastAsia" w:ascii="宋体" w:hAnsi="宋体"/>
                <w:szCs w:val="21"/>
              </w:rPr>
              <w:t>序号</w:t>
            </w:r>
          </w:p>
        </w:tc>
        <w:tc>
          <w:tcPr>
            <w:tcW w:w="2410" w:type="dxa"/>
            <w:vAlign w:val="center"/>
          </w:tcPr>
          <w:p>
            <w:pPr>
              <w:jc w:val="center"/>
              <w:rPr>
                <w:rFonts w:ascii="宋体" w:hAnsi="宋体"/>
                <w:szCs w:val="21"/>
              </w:rPr>
            </w:pPr>
            <w:r>
              <w:rPr>
                <w:rFonts w:hint="eastAsia" w:ascii="宋体" w:hAnsi="宋体"/>
                <w:szCs w:val="21"/>
              </w:rPr>
              <w:t>招标文件商务要求</w:t>
            </w:r>
          </w:p>
        </w:tc>
        <w:tc>
          <w:tcPr>
            <w:tcW w:w="2551" w:type="dxa"/>
            <w:vAlign w:val="center"/>
          </w:tcPr>
          <w:p>
            <w:pPr>
              <w:jc w:val="center"/>
              <w:rPr>
                <w:rFonts w:ascii="宋体" w:hAnsi="宋体"/>
                <w:szCs w:val="21"/>
              </w:rPr>
            </w:pPr>
            <w:r>
              <w:rPr>
                <w:rFonts w:hint="eastAsia" w:ascii="宋体" w:hAnsi="宋体"/>
                <w:szCs w:val="21"/>
              </w:rPr>
              <w:t>投标文件商务响应</w:t>
            </w:r>
          </w:p>
        </w:tc>
        <w:tc>
          <w:tcPr>
            <w:tcW w:w="1344" w:type="dxa"/>
            <w:vAlign w:val="center"/>
          </w:tcPr>
          <w:p>
            <w:pPr>
              <w:jc w:val="center"/>
              <w:rPr>
                <w:rFonts w:ascii="宋体" w:hAnsi="宋体"/>
                <w:szCs w:val="21"/>
              </w:rPr>
            </w:pPr>
            <w:r>
              <w:rPr>
                <w:rFonts w:hint="eastAsia" w:ascii="宋体" w:hAnsi="宋体"/>
                <w:szCs w:val="21"/>
              </w:rPr>
              <w:t>偏离情况</w:t>
            </w:r>
          </w:p>
        </w:tc>
        <w:tc>
          <w:tcPr>
            <w:tcW w:w="2008" w:type="dxa"/>
            <w:vAlign w:val="center"/>
          </w:tcPr>
          <w:p>
            <w:pPr>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tcPr>
          <w:p>
            <w:pPr>
              <w:rPr>
                <w:sz w:val="24"/>
              </w:rPr>
            </w:pPr>
          </w:p>
        </w:tc>
        <w:tc>
          <w:tcPr>
            <w:tcW w:w="2410" w:type="dxa"/>
          </w:tcPr>
          <w:p>
            <w:pPr>
              <w:rPr>
                <w:sz w:val="24"/>
              </w:rPr>
            </w:pPr>
          </w:p>
        </w:tc>
        <w:tc>
          <w:tcPr>
            <w:tcW w:w="2551" w:type="dxa"/>
          </w:tcPr>
          <w:p>
            <w:pPr>
              <w:rPr>
                <w:sz w:val="24"/>
              </w:rPr>
            </w:pPr>
          </w:p>
        </w:tc>
        <w:tc>
          <w:tcPr>
            <w:tcW w:w="1344" w:type="dxa"/>
          </w:tcPr>
          <w:p>
            <w:pPr>
              <w:rPr>
                <w:sz w:val="24"/>
              </w:rPr>
            </w:pPr>
          </w:p>
        </w:tc>
        <w:tc>
          <w:tcPr>
            <w:tcW w:w="2008" w:type="dxa"/>
          </w:tcPr>
          <w:p>
            <w:pPr>
              <w:rPr>
                <w:sz w:val="24"/>
              </w:rPr>
            </w:pPr>
            <w:r>
              <w:rPr>
                <w:rFonts w:hint="eastAsia"/>
                <w:szCs w:val="21"/>
              </w:rPr>
              <w:t>如需附证明文件，应在“说明”栏填写证明文件对应名称和页码。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51" w:type="dxa"/>
          </w:tcPr>
          <w:p>
            <w:pPr>
              <w:rPr>
                <w:sz w:val="24"/>
              </w:rPr>
            </w:pPr>
          </w:p>
        </w:tc>
        <w:tc>
          <w:tcPr>
            <w:tcW w:w="2410" w:type="dxa"/>
          </w:tcPr>
          <w:p>
            <w:pPr>
              <w:rPr>
                <w:sz w:val="24"/>
              </w:rPr>
            </w:pPr>
          </w:p>
        </w:tc>
        <w:tc>
          <w:tcPr>
            <w:tcW w:w="2551" w:type="dxa"/>
          </w:tcPr>
          <w:p>
            <w:pPr>
              <w:rPr>
                <w:sz w:val="24"/>
              </w:rPr>
            </w:pPr>
          </w:p>
        </w:tc>
        <w:tc>
          <w:tcPr>
            <w:tcW w:w="1344" w:type="dxa"/>
          </w:tcPr>
          <w:p>
            <w:pPr>
              <w:rPr>
                <w:sz w:val="24"/>
              </w:rPr>
            </w:pPr>
          </w:p>
        </w:tc>
        <w:tc>
          <w:tcPr>
            <w:tcW w:w="2008" w:type="dxa"/>
          </w:tcPr>
          <w:p>
            <w:pPr>
              <w:rPr>
                <w:sz w:val="24"/>
              </w:rPr>
            </w:pPr>
          </w:p>
        </w:tc>
      </w:tr>
    </w:tbl>
    <w:p>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备注：</w:t>
      </w:r>
    </w:p>
    <w:p>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1、“招标文件商务服务要求”一栏填写招标文件第二章“招标项目需求”</w:t>
      </w:r>
      <w:r>
        <w:rPr>
          <w:rFonts w:hint="eastAsia" w:asciiTheme="minorEastAsia" w:hAnsiTheme="minorEastAsia" w:eastAsiaTheme="minorEastAsia"/>
          <w:b/>
          <w:bCs/>
          <w:kern w:val="0"/>
          <w:szCs w:val="21"/>
          <w:highlight w:val="yellow"/>
        </w:rPr>
        <w:t>“五、项目商务要求”</w:t>
      </w:r>
      <w:r>
        <w:rPr>
          <w:rFonts w:hint="eastAsia" w:asciiTheme="minorEastAsia" w:hAnsiTheme="minorEastAsia" w:eastAsiaTheme="minorEastAsia"/>
          <w:bCs/>
          <w:kern w:val="0"/>
          <w:szCs w:val="21"/>
        </w:rPr>
        <w:t>的内容</w:t>
      </w:r>
      <w:r>
        <w:rPr>
          <w:rFonts w:asciiTheme="minorEastAsia" w:hAnsiTheme="minorEastAsia" w:eastAsiaTheme="minorEastAsia"/>
          <w:bCs/>
          <w:kern w:val="0"/>
          <w:szCs w:val="21"/>
        </w:rPr>
        <w:t>。</w:t>
      </w:r>
    </w:p>
    <w:p>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2、“投标文件商务响应”一栏详细填写投标商务条款的内容</w:t>
      </w:r>
      <w:r>
        <w:rPr>
          <w:rFonts w:asciiTheme="minorEastAsia" w:hAnsiTheme="minorEastAsia" w:eastAsiaTheme="minorEastAsia"/>
          <w:bCs/>
          <w:kern w:val="0"/>
          <w:szCs w:val="21"/>
        </w:rPr>
        <w:t>。</w:t>
      </w:r>
    </w:p>
    <w:p>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3、“偏离情况”栏中应如实填写“正偏离”、“负偏离”或“无偏离”</w:t>
      </w:r>
      <w:r>
        <w:rPr>
          <w:rFonts w:asciiTheme="minorEastAsia" w:hAnsiTheme="minorEastAsia" w:eastAsiaTheme="minorEastAsia"/>
          <w:bCs/>
          <w:kern w:val="0"/>
          <w:szCs w:val="21"/>
        </w:rPr>
        <w:t>。</w:t>
      </w:r>
    </w:p>
    <w:p>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4、对于实质性条款，投标文件响应为“负偏离”的，投标文件将作投标无效处理</w:t>
      </w:r>
      <w:r>
        <w:rPr>
          <w:rFonts w:asciiTheme="minorEastAsia" w:hAnsiTheme="minorEastAsia" w:eastAsiaTheme="minorEastAsia"/>
          <w:bCs/>
          <w:kern w:val="0"/>
          <w:szCs w:val="21"/>
        </w:rPr>
        <w:t>。</w:t>
      </w:r>
    </w:p>
    <w:p>
      <w:pPr>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5、如招标文件要求提供证明材料的，投标文件需提供相应证明材料扫描件（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pPr>
        <w:spacing w:afterLines="50"/>
        <w:jc w:val="center"/>
        <w:rPr>
          <w:rFonts w:ascii="黑体" w:hAnsi="宋体" w:eastAsia="黑体"/>
          <w:bCs/>
          <w:kern w:val="0"/>
          <w:sz w:val="24"/>
          <w:szCs w:val="24"/>
        </w:rPr>
      </w:pPr>
      <w:r>
        <w:rPr>
          <w:rFonts w:hint="eastAsia" w:ascii="黑体" w:hAnsi="宋体" w:eastAsia="黑体"/>
          <w:bCs/>
          <w:kern w:val="0"/>
          <w:sz w:val="24"/>
          <w:szCs w:val="24"/>
        </w:rPr>
        <w:t>十二、标准体系框架</w:t>
      </w:r>
    </w:p>
    <w:p>
      <w:pPr>
        <w:pStyle w:val="5"/>
        <w:keepNext w:val="0"/>
        <w:keepLines w:val="0"/>
        <w:jc w:val="center"/>
        <w:rPr>
          <w:rFonts w:ascii="黑体" w:eastAsia="黑体"/>
          <w:b w:val="0"/>
          <w:bCs w:val="0"/>
          <w:sz w:val="24"/>
          <w:szCs w:val="24"/>
        </w:rPr>
      </w:pPr>
      <w:r>
        <w:rPr>
          <w:rFonts w:hint="eastAsia" w:ascii="黑体" w:eastAsia="黑体"/>
          <w:b w:val="0"/>
          <w:bCs w:val="0"/>
          <w:sz w:val="24"/>
          <w:szCs w:val="24"/>
        </w:rPr>
        <w:t>十三、质量保障措施及方案</w:t>
      </w:r>
    </w:p>
    <w:p>
      <w:pPr>
        <w:pStyle w:val="5"/>
        <w:keepNext w:val="0"/>
        <w:keepLines w:val="0"/>
        <w:jc w:val="center"/>
        <w:rPr>
          <w:rFonts w:ascii="黑体" w:eastAsia="黑体"/>
          <w:b w:val="0"/>
          <w:bCs w:val="0"/>
          <w:sz w:val="24"/>
          <w:szCs w:val="24"/>
        </w:rPr>
      </w:pPr>
      <w:r>
        <w:rPr>
          <w:rFonts w:hint="eastAsia" w:ascii="黑体" w:eastAsia="黑体"/>
          <w:b w:val="0"/>
          <w:bCs w:val="0"/>
          <w:sz w:val="24"/>
          <w:szCs w:val="24"/>
        </w:rPr>
        <w:t>十四、投标人国际标准注册专家</w:t>
      </w:r>
    </w:p>
    <w:p>
      <w:pPr>
        <w:pStyle w:val="5"/>
        <w:keepNext w:val="0"/>
        <w:keepLines w:val="0"/>
        <w:jc w:val="center"/>
        <w:rPr>
          <w:rFonts w:ascii="黑体" w:eastAsia="黑体"/>
          <w:b w:val="0"/>
          <w:bCs w:val="0"/>
          <w:sz w:val="24"/>
          <w:szCs w:val="24"/>
        </w:rPr>
      </w:pPr>
      <w:r>
        <w:rPr>
          <w:rFonts w:hint="eastAsia" w:ascii="黑体" w:eastAsia="黑体"/>
          <w:b w:val="0"/>
          <w:bCs w:val="0"/>
          <w:sz w:val="24"/>
          <w:szCs w:val="24"/>
        </w:rPr>
        <w:t>十五、投标人</w:t>
      </w:r>
      <w:r>
        <w:rPr>
          <w:rFonts w:hint="eastAsia" w:ascii="黑体" w:eastAsia="黑体"/>
          <w:b w:val="0"/>
          <w:bCs w:val="0"/>
          <w:sz w:val="24"/>
          <w:szCs w:val="24"/>
          <w:lang w:val="en-US" w:eastAsia="zh-CN"/>
        </w:rPr>
        <w:t>参与</w:t>
      </w:r>
      <w:r>
        <w:rPr>
          <w:rFonts w:hint="eastAsia" w:ascii="黑体" w:eastAsia="黑体"/>
          <w:b w:val="0"/>
          <w:bCs w:val="0"/>
          <w:sz w:val="24"/>
          <w:szCs w:val="24"/>
        </w:rPr>
        <w:t>智能网联汽车相关国际、国家或地方标准</w:t>
      </w:r>
    </w:p>
    <w:p>
      <w:pPr>
        <w:pStyle w:val="5"/>
        <w:keepNext w:val="0"/>
        <w:keepLines w:val="0"/>
        <w:jc w:val="center"/>
        <w:rPr>
          <w:rFonts w:ascii="黑体" w:eastAsia="黑体"/>
          <w:b w:val="0"/>
          <w:bCs w:val="0"/>
          <w:sz w:val="24"/>
          <w:szCs w:val="24"/>
        </w:rPr>
      </w:pPr>
      <w:r>
        <w:rPr>
          <w:rFonts w:hint="eastAsia" w:ascii="黑体" w:eastAsia="黑体"/>
          <w:b w:val="0"/>
          <w:bCs w:val="0"/>
          <w:sz w:val="24"/>
          <w:szCs w:val="24"/>
        </w:rPr>
        <w:t>十六、项目经理（仅限1人）和项目团队成员（项目经理除外）</w:t>
      </w:r>
    </w:p>
    <w:p>
      <w:pPr>
        <w:pStyle w:val="5"/>
        <w:keepNext w:val="0"/>
        <w:keepLines w:val="0"/>
        <w:jc w:val="center"/>
        <w:rPr>
          <w:rFonts w:ascii="黑体" w:eastAsia="黑体"/>
          <w:b w:val="0"/>
          <w:bCs w:val="0"/>
          <w:sz w:val="24"/>
          <w:szCs w:val="24"/>
        </w:rPr>
      </w:pPr>
      <w:r>
        <w:rPr>
          <w:rFonts w:hint="eastAsia" w:ascii="黑体" w:eastAsia="黑体"/>
          <w:b w:val="0"/>
          <w:bCs w:val="0"/>
          <w:sz w:val="24"/>
          <w:szCs w:val="24"/>
        </w:rPr>
        <w:t>十七、投标人行业资质</w:t>
      </w:r>
    </w:p>
    <w:p>
      <w:pPr>
        <w:pStyle w:val="5"/>
        <w:keepNext w:val="0"/>
        <w:keepLines w:val="0"/>
        <w:jc w:val="center"/>
        <w:rPr>
          <w:rFonts w:ascii="黑体" w:eastAsia="黑体"/>
          <w:b w:val="0"/>
          <w:bCs w:val="0"/>
          <w:sz w:val="24"/>
          <w:szCs w:val="24"/>
        </w:rPr>
      </w:pPr>
      <w:r>
        <w:rPr>
          <w:rFonts w:hint="eastAsia" w:ascii="黑体" w:eastAsia="黑体"/>
          <w:b w:val="0"/>
          <w:bCs w:val="0"/>
          <w:sz w:val="24"/>
          <w:szCs w:val="24"/>
        </w:rPr>
        <w:t>十八、投标人获奖情况</w:t>
      </w:r>
    </w:p>
    <w:p>
      <w:pPr>
        <w:pStyle w:val="5"/>
        <w:keepNext w:val="0"/>
        <w:keepLines w:val="0"/>
        <w:jc w:val="center"/>
        <w:rPr>
          <w:rFonts w:ascii="黑体" w:eastAsia="黑体"/>
          <w:b w:val="0"/>
          <w:bCs w:val="0"/>
          <w:sz w:val="24"/>
          <w:szCs w:val="24"/>
        </w:rPr>
      </w:pPr>
      <w:r>
        <w:rPr>
          <w:rFonts w:hint="eastAsia" w:ascii="黑体" w:eastAsia="黑体"/>
          <w:b w:val="0"/>
          <w:bCs w:val="0"/>
          <w:sz w:val="24"/>
          <w:szCs w:val="24"/>
        </w:rPr>
        <w:t>十九、投标人自主知识产权产品（创新、设计）情况</w:t>
      </w:r>
    </w:p>
    <w:p>
      <w:pPr>
        <w:pStyle w:val="5"/>
        <w:keepNext w:val="0"/>
        <w:keepLines w:val="0"/>
        <w:jc w:val="center"/>
        <w:rPr>
          <w:rFonts w:ascii="黑体" w:eastAsia="黑体"/>
          <w:b w:val="0"/>
          <w:sz w:val="24"/>
        </w:rPr>
      </w:pPr>
      <w:r>
        <w:rPr>
          <w:rFonts w:hint="eastAsia" w:ascii="黑体" w:eastAsia="黑体"/>
          <w:b w:val="0"/>
          <w:bCs w:val="0"/>
          <w:sz w:val="24"/>
          <w:szCs w:val="24"/>
        </w:rPr>
        <w:t>二十</w:t>
      </w:r>
      <w:r>
        <w:rPr>
          <w:rFonts w:hint="eastAsia" w:ascii="黑体" w:eastAsia="黑体"/>
          <w:b w:val="0"/>
          <w:sz w:val="24"/>
          <w:szCs w:val="24"/>
        </w:rPr>
        <w:t>、</w:t>
      </w:r>
      <w:r>
        <w:rPr>
          <w:rFonts w:hint="eastAsia" w:ascii="黑体" w:eastAsia="黑体"/>
          <w:b w:val="0"/>
          <w:sz w:val="24"/>
        </w:rPr>
        <w:t>诚信承诺函</w:t>
      </w:r>
    </w:p>
    <w:p>
      <w:pPr>
        <w:rPr>
          <w:rFonts w:cs="Courier New"/>
          <w:snapToGrid w:val="0"/>
          <w:szCs w:val="18"/>
        </w:rPr>
      </w:pPr>
      <w:r>
        <w:rPr>
          <w:rFonts w:hint="eastAsia" w:cs="Courier New"/>
          <w:snapToGrid w:val="0"/>
          <w:szCs w:val="18"/>
        </w:rPr>
        <w:t>深圳市中正招标有限公司：</w:t>
      </w:r>
    </w:p>
    <w:p>
      <w:pPr>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ind w:firstLine="420" w:firstLineChars="200"/>
        <w:rPr>
          <w:rFonts w:cs="Courier New"/>
          <w:snapToGrid w:val="0"/>
          <w:szCs w:val="18"/>
        </w:rPr>
      </w:pPr>
      <w:r>
        <w:rPr>
          <w:rFonts w:hint="eastAsia" w:cs="Courier New"/>
          <w:snapToGrid w:val="0"/>
          <w:szCs w:val="18"/>
        </w:rPr>
        <w:t>（六）捏造事实、提供虚假材料进行质疑的；</w:t>
      </w:r>
    </w:p>
    <w:p>
      <w:pPr>
        <w:ind w:firstLine="420" w:firstLineChars="200"/>
        <w:rPr>
          <w:rFonts w:cs="Courier New"/>
          <w:snapToGrid w:val="0"/>
          <w:szCs w:val="18"/>
        </w:rPr>
      </w:pPr>
      <w:r>
        <w:rPr>
          <w:rFonts w:hint="eastAsia" w:cs="Courier New"/>
          <w:snapToGrid w:val="0"/>
          <w:szCs w:val="18"/>
        </w:rPr>
        <w:t>（七）假冒他人名义质疑的；</w:t>
      </w:r>
    </w:p>
    <w:p>
      <w:pPr>
        <w:ind w:firstLine="420" w:firstLineChars="200"/>
        <w:rPr>
          <w:rFonts w:cs="Courier New"/>
          <w:snapToGrid w:val="0"/>
          <w:szCs w:val="18"/>
        </w:rPr>
      </w:pPr>
      <w:r>
        <w:rPr>
          <w:rFonts w:hint="eastAsia" w:cs="Courier New"/>
          <w:snapToGrid w:val="0"/>
          <w:szCs w:val="18"/>
        </w:rPr>
        <w:t>（八）无正当理由拒不配合进行质疑调查的。</w:t>
      </w:r>
    </w:p>
    <w:p>
      <w:pPr>
        <w:ind w:firstLine="420" w:firstLineChars="200"/>
        <w:rPr>
          <w:rFonts w:cs="Courier New"/>
          <w:snapToGrid w:val="0"/>
          <w:szCs w:val="18"/>
        </w:rPr>
      </w:pPr>
      <w:r>
        <w:rPr>
          <w:rFonts w:hint="eastAsia" w:cs="Courier New"/>
          <w:snapToGrid w:val="0"/>
          <w:szCs w:val="18"/>
        </w:rPr>
        <w:t>特此承诺。</w:t>
      </w:r>
    </w:p>
    <w:p>
      <w:pPr>
        <w:ind w:firstLine="420" w:firstLineChars="200"/>
        <w:rPr>
          <w:rFonts w:cs="Courier New"/>
          <w:snapToGrid w:val="0"/>
          <w:szCs w:val="18"/>
        </w:rPr>
      </w:pPr>
    </w:p>
    <w:p>
      <w:pPr>
        <w:jc w:val="center"/>
      </w:pPr>
      <w:r>
        <w:rPr>
          <w:rFonts w:hint="eastAsia"/>
          <w:szCs w:val="21"/>
        </w:rPr>
        <w:t xml:space="preserve">                             投标人：</w:t>
      </w:r>
    </w:p>
    <w:p>
      <w:pPr>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rPr>
          <w:szCs w:val="21"/>
          <w:u w:val="single"/>
        </w:rPr>
      </w:pPr>
    </w:p>
    <w:p>
      <w:pPr>
        <w:rPr>
          <w:rFonts w:ascii="宋体" w:hAnsi="宋体"/>
          <w:szCs w:val="21"/>
        </w:rPr>
      </w:pPr>
      <w:r>
        <w:rPr>
          <w:rFonts w:hint="eastAsia"/>
          <w:szCs w:val="21"/>
          <w:u w:val="single"/>
        </w:rPr>
        <w:t>（备注：如联合体投标，投标人一栏需填写联合体双方的名称）</w:t>
      </w:r>
    </w:p>
    <w:p>
      <w:pPr>
        <w:spacing w:afterLines="50"/>
        <w:jc w:val="center"/>
        <w:rPr>
          <w:rFonts w:ascii="黑体" w:hAnsi="宋体" w:eastAsia="黑体"/>
          <w:bCs/>
          <w:kern w:val="0"/>
          <w:sz w:val="24"/>
          <w:szCs w:val="24"/>
        </w:rPr>
      </w:pPr>
    </w:p>
    <w:p>
      <w:pPr>
        <w:jc w:val="center"/>
        <w:rPr>
          <w:rFonts w:ascii="黑体" w:hAnsi="宋体" w:eastAsia="黑体"/>
          <w:bCs/>
          <w:kern w:val="0"/>
          <w:sz w:val="24"/>
          <w:szCs w:val="24"/>
        </w:rPr>
      </w:pPr>
    </w:p>
    <w:p>
      <w:pPr>
        <w:jc w:val="center"/>
        <w:rPr>
          <w:rFonts w:ascii="黑体" w:hAnsi="宋体" w:eastAsia="黑体"/>
          <w:bCs/>
          <w:kern w:val="0"/>
          <w:sz w:val="24"/>
          <w:szCs w:val="24"/>
        </w:rPr>
      </w:pPr>
      <w:r>
        <w:rPr>
          <w:rFonts w:hint="eastAsia" w:ascii="黑体" w:hAnsi="宋体" w:eastAsia="黑体"/>
          <w:bCs/>
          <w:kern w:val="0"/>
          <w:sz w:val="24"/>
          <w:szCs w:val="24"/>
        </w:rPr>
        <w:t>二十一、招标文件要求的其它内容或投标人认为需要补充的资料（格式自定）</w:t>
      </w:r>
    </w:p>
    <w:p>
      <w:pPr>
        <w:widowControl/>
        <w:snapToGrid w:val="0"/>
        <w:spacing w:line="360" w:lineRule="auto"/>
        <w:jc w:val="left"/>
        <w:outlineLvl w:val="4"/>
        <w:rPr>
          <w:rFonts w:ascii="黑体" w:hAnsi="宋体" w:eastAsia="黑体"/>
          <w:bCs/>
          <w:kern w:val="0"/>
          <w:sz w:val="24"/>
          <w:szCs w:val="24"/>
        </w:rPr>
      </w:pPr>
    </w:p>
    <w:p>
      <w:pPr>
        <w:widowControl/>
        <w:snapToGrid w:val="0"/>
        <w:spacing w:line="360" w:lineRule="auto"/>
        <w:jc w:val="left"/>
        <w:outlineLvl w:val="4"/>
        <w:rPr>
          <w:rFonts w:ascii="仿宋" w:hAnsi="仿宋" w:eastAsia="仿宋"/>
          <w:b/>
          <w:bCs/>
          <w:color w:val="FF0000"/>
          <w:kern w:val="0"/>
          <w:sz w:val="25"/>
          <w:szCs w:val="25"/>
        </w:rPr>
      </w:pPr>
      <w:r>
        <w:rPr>
          <w:rFonts w:hint="eastAsia" w:ascii="仿宋" w:hAnsi="仿宋" w:eastAsia="仿宋"/>
          <w:b/>
          <w:bCs/>
          <w:color w:val="FF0000"/>
          <w:kern w:val="0"/>
          <w:sz w:val="25"/>
          <w:szCs w:val="25"/>
        </w:rPr>
        <w:t>特别提醒：</w:t>
      </w:r>
    </w:p>
    <w:p>
      <w:pPr>
        <w:widowControl/>
        <w:snapToGrid w:val="0"/>
        <w:spacing w:line="360" w:lineRule="auto"/>
        <w:jc w:val="left"/>
        <w:rPr>
          <w:rFonts w:ascii="宋体" w:hAnsi="宋体"/>
          <w:color w:val="FF0000"/>
          <w:szCs w:val="21"/>
        </w:rPr>
      </w:pPr>
      <w:r>
        <w:rPr>
          <w:rFonts w:hint="eastAsia" w:ascii="仿宋" w:hAnsi="仿宋" w:eastAsia="仿宋"/>
          <w:color w:val="FF0000"/>
          <w:kern w:val="0"/>
          <w:sz w:val="25"/>
          <w:szCs w:val="25"/>
        </w:rPr>
        <w:t xml:space="preserve">  </w:t>
      </w:r>
      <w:r>
        <w:rPr>
          <w:rFonts w:hint="eastAsia" w:asciiTheme="minorEastAsia" w:hAnsiTheme="minorEastAsia" w:eastAsiaTheme="minorEastAsia"/>
          <w:color w:val="FF0000"/>
          <w:kern w:val="0"/>
          <w:szCs w:val="21"/>
        </w:rPr>
        <w:t xml:space="preserve">  《深圳经济特区政府采购条例实施细则》</w:t>
      </w:r>
      <w:r>
        <w:rPr>
          <w:rFonts w:hint="eastAsia" w:ascii="宋体" w:hAnsi="宋体"/>
          <w:color w:val="FF0000"/>
          <w:szCs w:val="21"/>
        </w:rPr>
        <w:t>第七十九条规定：供应商有下列情形的，属于采购条例所称的串通投标行为。</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（一）投标供应商之间相互约定给予未中标的供应商利益补偿；</w:t>
      </w:r>
    </w:p>
    <w:p>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（二）不同投标供应商的法定代表人、主要经营负责人、项目投标授权代表人、项目负责人、主要技术人员为同一人、属同一单位或者在同一单位缴纳社会保险；</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（三）不同投标供应商的投标文件由同一单位或者同一人编制，或者由同一人分阶段参与编制的；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（四）不同投标供应商的投标文件或部分投标文件相互混装；</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（五）不同投标供应商的投标文件内容存在非正常一致；</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（六）由同一单位工作人员为两家以上（含两家）供应商进行同一项投标活动的；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（七）主管部门依照法律、法规认定的其他情形。</w:t>
      </w:r>
    </w:p>
    <w:p>
      <w:pPr>
        <w:widowControl/>
        <w:snapToGrid w:val="0"/>
        <w:spacing w:line="360" w:lineRule="auto"/>
        <w:jc w:val="left"/>
        <w:rPr>
          <w:rFonts w:asciiTheme="minorEastAsia" w:hAnsiTheme="minorEastAsia" w:eastAsiaTheme="minorEastAsia"/>
          <w:color w:val="FF0000"/>
          <w:kern w:val="0"/>
          <w:szCs w:val="21"/>
        </w:rPr>
      </w:pPr>
    </w:p>
    <w:p>
      <w:pPr>
        <w:widowControl/>
        <w:snapToGrid w:val="0"/>
        <w:spacing w:line="360" w:lineRule="auto"/>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投标人提供以下资料（格式自拟）：</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1、投标单位法定代表人、主要经营负责人、项目投标授权代表人、项目负责人及主要技术人员近一年社保缴纳查询记录（包含在投标单位及其他缴纳社保单位的记录）；社保缴纳不满一年的按实际缴纳情况提供（因社保部门原因暂时无法提供社保证明的，需提供加盖公章的情况说明或者证明材料。）</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2、其他招标文件要求提供的资料或投标人认为需要补充的资料。</w:t>
      </w:r>
    </w:p>
    <w:p>
      <w:pPr>
        <w:widowControl/>
        <w:jc w:val="left"/>
        <w:rPr>
          <w:rFonts w:ascii="黑体" w:hAnsi="宋体" w:eastAsia="黑体"/>
          <w:bCs/>
          <w:kern w:val="0"/>
          <w:sz w:val="24"/>
          <w:szCs w:val="24"/>
        </w:rPr>
      </w:pPr>
    </w:p>
    <w:p>
      <w:pPr>
        <w:widowControl/>
        <w:jc w:val="left"/>
        <w:rPr>
          <w:rFonts w:ascii="黑体" w:hAnsi="宋体" w:eastAsia="黑体"/>
          <w:bCs/>
          <w:kern w:val="0"/>
          <w:sz w:val="24"/>
          <w:szCs w:val="24"/>
        </w:rPr>
      </w:pPr>
    </w:p>
    <w:p>
      <w:pPr>
        <w:widowControl/>
        <w:jc w:val="left"/>
        <w:rPr>
          <w:rFonts w:ascii="宋体" w:hAnsi="宋体"/>
          <w:b/>
          <w:bCs/>
          <w:kern w:val="0"/>
          <w:sz w:val="24"/>
          <w:szCs w:val="20"/>
        </w:rPr>
      </w:pPr>
      <w:r>
        <w:rPr>
          <w:rFonts w:ascii="宋体" w:hAnsi="宋体"/>
          <w:b/>
          <w:bCs/>
          <w:kern w:val="0"/>
          <w:sz w:val="24"/>
          <w:szCs w:val="20"/>
        </w:rPr>
        <w:br w:type="page"/>
      </w:r>
    </w:p>
    <w:p>
      <w:pPr>
        <w:jc w:val="center"/>
        <w:rPr>
          <w:rFonts w:ascii="宋体" w:hAnsi="宋体"/>
          <w:b/>
          <w:bCs/>
          <w:kern w:val="0"/>
          <w:sz w:val="24"/>
          <w:szCs w:val="20"/>
        </w:rPr>
      </w:pPr>
      <w:r>
        <w:rPr>
          <w:rFonts w:hint="eastAsia" w:ascii="宋体" w:hAnsi="宋体"/>
          <w:b/>
          <w:bCs/>
          <w:kern w:val="0"/>
          <w:sz w:val="24"/>
          <w:szCs w:val="20"/>
        </w:rPr>
        <w:t>第四章  合同及履约情况反馈格式</w:t>
      </w:r>
    </w:p>
    <w:p>
      <w:pPr>
        <w:ind w:firstLine="411" w:firstLineChars="196"/>
        <w:rPr>
          <w:rFonts w:ascii="Times New Roman" w:hAnsi="Times New Roman"/>
          <w:szCs w:val="24"/>
        </w:rPr>
      </w:pPr>
    </w:p>
    <w:p>
      <w:pPr>
        <w:keepNext/>
        <w:keepLines/>
        <w:spacing w:before="260" w:after="260"/>
        <w:jc w:val="center"/>
        <w:outlineLvl w:val="2"/>
        <w:rPr>
          <w:rFonts w:ascii="黑体" w:hAnsi="宋体" w:eastAsia="黑体"/>
          <w:bCs/>
          <w:kern w:val="0"/>
          <w:sz w:val="24"/>
          <w:szCs w:val="24"/>
        </w:rPr>
      </w:pPr>
      <w:r>
        <w:rPr>
          <w:rFonts w:hint="eastAsia" w:ascii="黑体" w:hAnsi="宋体" w:eastAsia="黑体"/>
          <w:bCs/>
          <w:kern w:val="0"/>
          <w:sz w:val="24"/>
          <w:szCs w:val="24"/>
        </w:rPr>
        <w:t>一、合同条款及格式（</w:t>
      </w:r>
      <w:r>
        <w:rPr>
          <w:rFonts w:hint="eastAsia" w:ascii="黑体" w:eastAsia="黑体"/>
          <w:kern w:val="0"/>
          <w:sz w:val="24"/>
          <w:szCs w:val="24"/>
        </w:rPr>
        <w:t>仅供参考</w:t>
      </w:r>
      <w:r>
        <w:rPr>
          <w:rFonts w:hint="eastAsia" w:ascii="黑体" w:hAnsi="宋体" w:eastAsia="黑体"/>
          <w:bCs/>
          <w:kern w:val="0"/>
          <w:sz w:val="24"/>
          <w:szCs w:val="24"/>
        </w:rPr>
        <w:t>）</w:t>
      </w:r>
    </w:p>
    <w:p>
      <w:pPr>
        <w:ind w:firstLine="470" w:firstLineChars="196"/>
        <w:jc w:val="center"/>
        <w:rPr>
          <w:rFonts w:ascii="Times New Roman" w:hAnsi="Times New Roman"/>
          <w:sz w:val="24"/>
          <w:szCs w:val="24"/>
        </w:rPr>
      </w:pPr>
      <w:bookmarkStart w:id="13" w:name="_Toc73518163"/>
      <w:bookmarkStart w:id="14" w:name="_Toc101074886"/>
      <w:bookmarkStart w:id="15" w:name="_Toc84303603"/>
      <w:bookmarkStart w:id="16" w:name="_Toc73521680"/>
      <w:bookmarkStart w:id="17" w:name="_Toc100052414"/>
      <w:bookmarkStart w:id="18" w:name="_Toc73521592"/>
      <w:bookmarkStart w:id="19" w:name="_Toc73517685"/>
    </w:p>
    <w:p>
      <w:pPr>
        <w:ind w:firstLine="470" w:firstLineChars="196"/>
        <w:jc w:val="center"/>
        <w:rPr>
          <w:rFonts w:ascii="Times New Roman" w:hAnsi="Times New Roman"/>
          <w:sz w:val="24"/>
          <w:szCs w:val="24"/>
        </w:rPr>
      </w:pPr>
    </w:p>
    <w:bookmarkEnd w:id="13"/>
    <w:bookmarkEnd w:id="14"/>
    <w:bookmarkEnd w:id="15"/>
    <w:bookmarkEnd w:id="16"/>
    <w:bookmarkEnd w:id="17"/>
    <w:bookmarkEnd w:id="18"/>
    <w:bookmarkEnd w:id="19"/>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adjustRightInd w:val="0"/>
        <w:snapToGrid w:val="0"/>
        <w:spacing w:line="360" w:lineRule="auto"/>
        <w:ind w:firstLine="422" w:firstLineChars="200"/>
        <w:rPr>
          <w:rFonts w:ascii="宋体" w:hAnsi="宋体"/>
          <w:b/>
          <w:bCs/>
          <w:szCs w:val="21"/>
        </w:rPr>
      </w:pP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pPr>
        <w:adjustRightInd w:val="0"/>
        <w:snapToGrid w:val="0"/>
        <w:spacing w:line="360" w:lineRule="auto"/>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pStyle w:val="2"/>
        <w:snapToGrid w:val="0"/>
        <w:spacing w:line="360" w:lineRule="auto"/>
        <w:ind w:firstLine="422" w:firstLineChars="200"/>
        <w:rPr>
          <w:rFonts w:hAnsi="宋体"/>
          <w:b/>
          <w:sz w:val="21"/>
          <w:szCs w:val="21"/>
        </w:rPr>
      </w:pPr>
      <w:r>
        <w:rPr>
          <w:rFonts w:hint="eastAsia" w:hAnsi="宋体"/>
          <w:b/>
          <w:sz w:val="21"/>
          <w:szCs w:val="21"/>
        </w:rPr>
        <w:t>一、服务内容</w:t>
      </w:r>
    </w:p>
    <w:p>
      <w:pPr>
        <w:spacing w:line="360" w:lineRule="auto"/>
        <w:ind w:firstLine="422" w:firstLineChars="201"/>
        <w:rPr>
          <w:rFonts w:ascii="宋体" w:hAnsi="宋体"/>
          <w:szCs w:val="21"/>
        </w:rPr>
      </w:pPr>
      <w:r>
        <w:rPr>
          <w:rFonts w:hint="eastAsia" w:ascii="宋体" w:hAnsi="宋体"/>
          <w:szCs w:val="21"/>
        </w:rPr>
        <w:t>______________________</w:t>
      </w:r>
    </w:p>
    <w:p>
      <w:pPr>
        <w:pStyle w:val="2"/>
        <w:snapToGrid w:val="0"/>
        <w:spacing w:line="360" w:lineRule="auto"/>
        <w:ind w:firstLine="422" w:firstLineChars="200"/>
        <w:rPr>
          <w:rFonts w:hAnsi="宋体"/>
          <w:b/>
          <w:sz w:val="21"/>
          <w:szCs w:val="21"/>
        </w:rPr>
      </w:pPr>
      <w:r>
        <w:rPr>
          <w:rFonts w:hint="eastAsia" w:hAnsi="宋体"/>
          <w:b/>
          <w:sz w:val="21"/>
          <w:szCs w:val="21"/>
        </w:rPr>
        <w:t>二、合同金额</w:t>
      </w:r>
    </w:p>
    <w:p>
      <w:pPr>
        <w:pStyle w:val="2"/>
        <w:snapToGrid w:val="0"/>
        <w:spacing w:line="360" w:lineRule="auto"/>
        <w:ind w:firstLine="420" w:firstLineChars="200"/>
        <w:rPr>
          <w:rFonts w:hAnsi="宋体"/>
          <w:sz w:val="21"/>
          <w:szCs w:val="21"/>
        </w:rPr>
      </w:pPr>
      <w:r>
        <w:rPr>
          <w:rFonts w:hint="eastAsia" w:hAnsi="宋体"/>
          <w:sz w:val="21"/>
          <w:szCs w:val="21"/>
        </w:rPr>
        <w:t>本合同金额为（大写）：____________________________________元（￥_______________元）人民币。</w:t>
      </w:r>
    </w:p>
    <w:p>
      <w:pPr>
        <w:pStyle w:val="2"/>
        <w:snapToGrid w:val="0"/>
        <w:spacing w:line="360" w:lineRule="auto"/>
        <w:ind w:firstLine="422" w:firstLineChars="200"/>
        <w:rPr>
          <w:rFonts w:hAnsi="宋体"/>
          <w:b/>
          <w:sz w:val="21"/>
          <w:szCs w:val="21"/>
        </w:rPr>
      </w:pPr>
      <w:r>
        <w:rPr>
          <w:rFonts w:hint="eastAsia" w:hAnsi="宋体"/>
          <w:b/>
          <w:sz w:val="21"/>
          <w:szCs w:val="21"/>
        </w:rPr>
        <w:t>三、技术资料</w:t>
      </w:r>
    </w:p>
    <w:p>
      <w:pPr>
        <w:pStyle w:val="2"/>
        <w:snapToGrid w:val="0"/>
        <w:spacing w:line="360" w:lineRule="auto"/>
        <w:ind w:firstLine="420" w:firstLineChars="200"/>
        <w:rPr>
          <w:rFonts w:hAnsi="宋体"/>
          <w:sz w:val="21"/>
          <w:szCs w:val="21"/>
        </w:rPr>
      </w:pPr>
      <w:r>
        <w:rPr>
          <w:rFonts w:hint="eastAsia" w:hAnsi="宋体"/>
          <w:sz w:val="21"/>
          <w:szCs w:val="21"/>
        </w:rPr>
        <w:t>1、中标人应按招标文件规定的时间向采购人提供有关技术资料。</w:t>
      </w:r>
    </w:p>
    <w:p>
      <w:pPr>
        <w:pStyle w:val="2"/>
        <w:snapToGrid w:val="0"/>
        <w:spacing w:line="360" w:lineRule="auto"/>
        <w:ind w:firstLine="420" w:firstLineChars="200"/>
        <w:rPr>
          <w:rFonts w:hAnsi="宋体"/>
          <w:sz w:val="21"/>
          <w:szCs w:val="21"/>
        </w:rPr>
      </w:pPr>
      <w:r>
        <w:rPr>
          <w:rFonts w:hint="eastAsia" w:hAnsi="宋体"/>
          <w:sz w:val="21"/>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pPr>
        <w:pStyle w:val="2"/>
        <w:snapToGrid w:val="0"/>
        <w:spacing w:line="360" w:lineRule="auto"/>
        <w:ind w:firstLine="420" w:firstLineChars="200"/>
        <w:rPr>
          <w:rFonts w:hAnsi="宋体"/>
          <w:sz w:val="21"/>
          <w:szCs w:val="21"/>
        </w:rPr>
      </w:pPr>
      <w:r>
        <w:rPr>
          <w:rFonts w:hint="eastAsia" w:hAnsi="宋体"/>
          <w:sz w:val="21"/>
          <w:szCs w:val="21"/>
        </w:rPr>
        <w:t>3、合同履行完毕，未经采购人的书面同意，中标人不得保存在履行合同过程中所获得或接触到的任何内部数据资料。</w:t>
      </w:r>
    </w:p>
    <w:p>
      <w:pPr>
        <w:pStyle w:val="2"/>
        <w:snapToGrid w:val="0"/>
        <w:spacing w:line="360" w:lineRule="auto"/>
        <w:ind w:firstLine="422" w:firstLineChars="200"/>
        <w:rPr>
          <w:rFonts w:hAnsi="宋体"/>
          <w:b/>
          <w:sz w:val="21"/>
          <w:szCs w:val="21"/>
        </w:rPr>
      </w:pPr>
      <w:r>
        <w:rPr>
          <w:rFonts w:hint="eastAsia" w:hAnsi="宋体"/>
          <w:b/>
          <w:sz w:val="21"/>
          <w:szCs w:val="21"/>
        </w:rPr>
        <w:t>四、知识产权</w:t>
      </w:r>
    </w:p>
    <w:p>
      <w:pPr>
        <w:pStyle w:val="2"/>
        <w:snapToGrid w:val="0"/>
        <w:spacing w:line="360" w:lineRule="auto"/>
        <w:ind w:firstLine="420" w:firstLineChars="200"/>
        <w:rPr>
          <w:rFonts w:hAnsi="宋体"/>
          <w:bCs/>
          <w:sz w:val="21"/>
          <w:szCs w:val="21"/>
        </w:rPr>
      </w:pPr>
      <w:r>
        <w:rPr>
          <w:rFonts w:hint="eastAsia" w:hAnsi="宋体"/>
          <w:sz w:val="21"/>
          <w:szCs w:val="21"/>
        </w:rPr>
        <w:t>中标人应保证提供服务过程中不会侵犯任何第三方的知识产权</w:t>
      </w:r>
      <w:r>
        <w:rPr>
          <w:rFonts w:hint="eastAsia" w:hAnsi="宋体"/>
          <w:bCs/>
          <w:sz w:val="21"/>
          <w:szCs w:val="21"/>
        </w:rPr>
        <w:t>。</w:t>
      </w:r>
    </w:p>
    <w:p>
      <w:pPr>
        <w:pStyle w:val="2"/>
        <w:snapToGrid w:val="0"/>
        <w:spacing w:line="360" w:lineRule="auto"/>
        <w:ind w:firstLine="422" w:firstLineChars="200"/>
        <w:rPr>
          <w:rFonts w:hAnsi="宋体"/>
          <w:b/>
          <w:sz w:val="21"/>
          <w:szCs w:val="21"/>
        </w:rPr>
      </w:pPr>
      <w:r>
        <w:rPr>
          <w:rFonts w:hint="eastAsia" w:hAnsi="宋体"/>
          <w:b/>
          <w:sz w:val="21"/>
          <w:szCs w:val="21"/>
        </w:rPr>
        <w:t>五、履约保证金</w:t>
      </w:r>
    </w:p>
    <w:p>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pPr>
        <w:pStyle w:val="2"/>
        <w:snapToGrid w:val="0"/>
        <w:spacing w:line="360" w:lineRule="auto"/>
        <w:ind w:firstLine="422" w:firstLineChars="200"/>
        <w:rPr>
          <w:rFonts w:hAnsi="宋体"/>
          <w:b/>
          <w:sz w:val="21"/>
          <w:szCs w:val="21"/>
        </w:rPr>
      </w:pPr>
      <w:r>
        <w:rPr>
          <w:rFonts w:hint="eastAsia" w:hAnsi="宋体"/>
          <w:b/>
          <w:sz w:val="21"/>
          <w:szCs w:val="21"/>
        </w:rPr>
        <w:t>八、合同履行时间、履行方式及履行地点</w:t>
      </w:r>
    </w:p>
    <w:p>
      <w:pPr>
        <w:pStyle w:val="2"/>
        <w:snapToGrid w:val="0"/>
        <w:spacing w:line="360" w:lineRule="auto"/>
        <w:ind w:firstLine="420" w:firstLineChars="200"/>
        <w:rPr>
          <w:rFonts w:hAnsi="宋体"/>
          <w:bCs/>
          <w:sz w:val="21"/>
          <w:szCs w:val="21"/>
        </w:rPr>
      </w:pPr>
      <w:r>
        <w:rPr>
          <w:rFonts w:hint="eastAsia" w:hAnsi="宋体"/>
          <w:bCs/>
          <w:sz w:val="21"/>
          <w:szCs w:val="21"/>
        </w:rPr>
        <w:t>1、</w:t>
      </w:r>
      <w:r>
        <w:rPr>
          <w:rFonts w:hint="eastAsia" w:hAnsi="宋体"/>
          <w:sz w:val="21"/>
          <w:szCs w:val="21"/>
        </w:rPr>
        <w:t>履行时间</w:t>
      </w:r>
      <w:r>
        <w:rPr>
          <w:rFonts w:hint="eastAsia" w:hAnsi="宋体"/>
          <w:bCs/>
          <w:sz w:val="21"/>
          <w:szCs w:val="21"/>
        </w:rPr>
        <w:t>：</w:t>
      </w:r>
      <w:r>
        <w:rPr>
          <w:rFonts w:hint="eastAsia" w:hAnsi="宋体"/>
          <w:sz w:val="21"/>
          <w:szCs w:val="21"/>
        </w:rPr>
        <w:t>______________________</w:t>
      </w:r>
    </w:p>
    <w:p>
      <w:pPr>
        <w:pStyle w:val="2"/>
        <w:snapToGrid w:val="0"/>
        <w:spacing w:line="360" w:lineRule="auto"/>
        <w:ind w:firstLine="420" w:firstLineChars="200"/>
        <w:rPr>
          <w:rFonts w:hAnsi="宋体"/>
          <w:bCs/>
          <w:sz w:val="21"/>
          <w:szCs w:val="21"/>
        </w:rPr>
      </w:pPr>
      <w:r>
        <w:rPr>
          <w:rFonts w:hint="eastAsia" w:hAnsi="宋体"/>
          <w:bCs/>
          <w:sz w:val="21"/>
          <w:szCs w:val="21"/>
        </w:rPr>
        <w:t>2、</w:t>
      </w:r>
      <w:r>
        <w:rPr>
          <w:rFonts w:hint="eastAsia" w:hAnsi="宋体"/>
          <w:sz w:val="21"/>
          <w:szCs w:val="21"/>
        </w:rPr>
        <w:t>履行方式</w:t>
      </w:r>
      <w:r>
        <w:rPr>
          <w:rFonts w:hint="eastAsia" w:hAnsi="宋体"/>
          <w:bCs/>
          <w:sz w:val="21"/>
          <w:szCs w:val="21"/>
        </w:rPr>
        <w:t>：</w:t>
      </w:r>
      <w:r>
        <w:rPr>
          <w:rFonts w:hint="eastAsia" w:hAnsi="宋体"/>
          <w:sz w:val="21"/>
          <w:szCs w:val="21"/>
        </w:rPr>
        <w:t>______________________</w:t>
      </w:r>
    </w:p>
    <w:p>
      <w:pPr>
        <w:pStyle w:val="2"/>
        <w:snapToGrid w:val="0"/>
        <w:spacing w:line="360" w:lineRule="auto"/>
        <w:ind w:firstLine="420" w:firstLineChars="200"/>
        <w:rPr>
          <w:rFonts w:hAnsi="宋体"/>
          <w:sz w:val="21"/>
          <w:szCs w:val="21"/>
        </w:rPr>
      </w:pPr>
      <w:r>
        <w:rPr>
          <w:rFonts w:hint="eastAsia" w:hAnsi="宋体"/>
          <w:bCs/>
          <w:sz w:val="21"/>
          <w:szCs w:val="21"/>
        </w:rPr>
        <w:t>3、</w:t>
      </w:r>
      <w:r>
        <w:rPr>
          <w:rFonts w:hint="eastAsia" w:hAnsi="宋体"/>
          <w:sz w:val="21"/>
          <w:szCs w:val="21"/>
        </w:rPr>
        <w:t>履行地点</w:t>
      </w:r>
      <w:r>
        <w:rPr>
          <w:rFonts w:hint="eastAsia" w:hAnsi="宋体"/>
          <w:bCs/>
          <w:sz w:val="21"/>
          <w:szCs w:val="21"/>
        </w:rPr>
        <w:t>：</w:t>
      </w:r>
      <w:r>
        <w:rPr>
          <w:rFonts w:hint="eastAsia" w:hAnsi="宋体"/>
          <w:sz w:val="21"/>
          <w:szCs w:val="21"/>
          <w:u w:val="single"/>
        </w:rPr>
        <w:t>深圳市</w:t>
      </w:r>
    </w:p>
    <w:p>
      <w:pPr>
        <w:snapToGrid w:val="0"/>
        <w:spacing w:line="360" w:lineRule="auto"/>
        <w:ind w:firstLine="422" w:firstLineChars="200"/>
        <w:rPr>
          <w:rFonts w:ascii="宋体" w:hAnsi="宋体"/>
          <w:b/>
          <w:szCs w:val="21"/>
        </w:rPr>
      </w:pPr>
      <w:r>
        <w:rPr>
          <w:rFonts w:hint="eastAsia" w:ascii="宋体" w:hAnsi="宋体"/>
          <w:b/>
          <w:szCs w:val="21"/>
        </w:rPr>
        <w:t>九、验收</w:t>
      </w:r>
    </w:p>
    <w:p>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pPr>
        <w:pStyle w:val="2"/>
        <w:snapToGrid w:val="0"/>
        <w:spacing w:line="360" w:lineRule="auto"/>
        <w:ind w:firstLine="422" w:firstLineChars="200"/>
        <w:rPr>
          <w:rFonts w:hAnsi="宋体"/>
          <w:b/>
          <w:sz w:val="21"/>
          <w:szCs w:val="21"/>
        </w:rPr>
      </w:pPr>
      <w:r>
        <w:rPr>
          <w:rFonts w:hint="eastAsia" w:hAnsi="宋体"/>
          <w:b/>
          <w:sz w:val="21"/>
          <w:szCs w:val="21"/>
        </w:rPr>
        <w:t>十、付款方式和税费</w:t>
      </w:r>
    </w:p>
    <w:p>
      <w:pPr>
        <w:pStyle w:val="2"/>
        <w:snapToGrid w:val="0"/>
        <w:spacing w:line="360" w:lineRule="auto"/>
        <w:ind w:firstLine="420" w:firstLineChars="200"/>
        <w:rPr>
          <w:rFonts w:hAnsi="宋体"/>
          <w:bCs/>
          <w:sz w:val="21"/>
          <w:szCs w:val="21"/>
        </w:rPr>
      </w:pPr>
      <w:r>
        <w:rPr>
          <w:rFonts w:hAnsi="宋体" w:cs="宋体"/>
          <w:sz w:val="21"/>
          <w:szCs w:val="21"/>
        </w:rPr>
        <w:t>本合同付款方式为</w:t>
      </w:r>
      <w:r>
        <w:rPr>
          <w:rFonts w:hint="eastAsia" w:hAnsi="宋体" w:cs="宋体"/>
          <w:sz w:val="21"/>
          <w:szCs w:val="21"/>
        </w:rPr>
        <w:t>：</w:t>
      </w:r>
      <w:r>
        <w:rPr>
          <w:rFonts w:hint="eastAsia" w:hAnsi="宋体" w:cs="宋体"/>
          <w:sz w:val="21"/>
          <w:szCs w:val="21"/>
          <w:u w:val="single"/>
        </w:rPr>
        <w:t xml:space="preserve">                </w:t>
      </w:r>
      <w:r>
        <w:rPr>
          <w:rFonts w:hint="eastAsia" w:hAnsi="宋体"/>
          <w:bCs/>
          <w:sz w:val="21"/>
          <w:szCs w:val="21"/>
        </w:rPr>
        <w:t>。</w:t>
      </w:r>
    </w:p>
    <w:p>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pPr>
        <w:pStyle w:val="2"/>
        <w:snapToGrid w:val="0"/>
        <w:spacing w:line="360" w:lineRule="auto"/>
        <w:ind w:firstLine="422" w:firstLineChars="200"/>
        <w:rPr>
          <w:rFonts w:hAnsi="宋体"/>
          <w:b/>
          <w:sz w:val="21"/>
          <w:szCs w:val="21"/>
        </w:rPr>
      </w:pPr>
      <w:r>
        <w:rPr>
          <w:rFonts w:hint="eastAsia" w:hAnsi="宋体"/>
          <w:b/>
          <w:sz w:val="21"/>
          <w:szCs w:val="21"/>
        </w:rPr>
        <w:t>十二、违约责任</w:t>
      </w:r>
    </w:p>
    <w:p>
      <w:pPr>
        <w:pStyle w:val="2"/>
        <w:snapToGrid w:val="0"/>
        <w:spacing w:line="360" w:lineRule="auto"/>
        <w:ind w:firstLine="420" w:firstLineChars="200"/>
        <w:rPr>
          <w:rFonts w:hAnsi="宋体"/>
          <w:sz w:val="21"/>
          <w:szCs w:val="21"/>
        </w:rPr>
      </w:pPr>
      <w:r>
        <w:rPr>
          <w:rFonts w:hint="eastAsia" w:hAnsi="宋体"/>
          <w:sz w:val="21"/>
          <w:szCs w:val="21"/>
        </w:rPr>
        <w:t>1、因中标人原因，未能按规定完成本项目有关工作的，采购人可在支付合同余款中扣除合同价款</w:t>
      </w:r>
      <w:r>
        <w:rPr>
          <w:rFonts w:hint="eastAsia" w:hAnsi="宋体"/>
          <w:sz w:val="21"/>
          <w:szCs w:val="21"/>
          <w:u w:val="single"/>
        </w:rPr>
        <w:t xml:space="preserve">        </w:t>
      </w:r>
      <w:r>
        <w:rPr>
          <w:rFonts w:hint="eastAsia" w:hAnsi="宋体"/>
          <w:sz w:val="21"/>
          <w:szCs w:val="21"/>
        </w:rPr>
        <w:t>。</w:t>
      </w:r>
    </w:p>
    <w:p>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pPr>
        <w:snapToGrid w:val="0"/>
        <w:spacing w:line="360" w:lineRule="auto"/>
        <w:ind w:firstLine="420" w:firstLineChars="200"/>
        <w:rPr>
          <w:rFonts w:ascii="宋体" w:hAnsi="宋体"/>
          <w:szCs w:val="21"/>
        </w:rPr>
      </w:pPr>
      <w:r>
        <w:rPr>
          <w:rFonts w:hint="eastAsia" w:ascii="宋体" w:hAnsi="宋体"/>
          <w:szCs w:val="21"/>
        </w:rPr>
        <w:t>（1）招标文件、答疑及补充通知；</w:t>
      </w:r>
    </w:p>
    <w:p>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pPr>
        <w:pStyle w:val="2"/>
        <w:snapToGrid w:val="0"/>
        <w:spacing w:line="360" w:lineRule="auto"/>
        <w:ind w:firstLine="420" w:firstLineChars="200"/>
        <w:rPr>
          <w:rFonts w:hAnsi="宋体"/>
          <w:sz w:val="21"/>
          <w:szCs w:val="21"/>
        </w:rPr>
      </w:pPr>
      <w:r>
        <w:rPr>
          <w:rFonts w:hint="eastAsia" w:hAnsi="宋体"/>
          <w:sz w:val="21"/>
          <w:szCs w:val="21"/>
        </w:rPr>
        <w:t>附件：</w:t>
      </w:r>
    </w:p>
    <w:p>
      <w:pPr>
        <w:snapToGrid w:val="0"/>
        <w:spacing w:line="360" w:lineRule="auto"/>
        <w:ind w:firstLine="420" w:firstLineChars="200"/>
        <w:rPr>
          <w:rFonts w:ascii="宋体" w:hAnsi="宋体"/>
          <w:szCs w:val="21"/>
        </w:rPr>
      </w:pPr>
      <w:r>
        <w:rPr>
          <w:rFonts w:hint="eastAsia" w:ascii="宋体" w:hAnsi="宋体"/>
          <w:szCs w:val="21"/>
        </w:rPr>
        <w:t>1、《中标/成交通知书》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napToGrid w:val="0"/>
        <w:spacing w:line="360" w:lineRule="auto"/>
        <w:ind w:firstLine="420" w:firstLineChars="200"/>
        <w:rPr>
          <w:rFonts w:ascii="宋体" w:hAnsi="宋体"/>
          <w:szCs w:val="21"/>
        </w:rPr>
      </w:pPr>
      <w:r>
        <w:rPr>
          <w:rFonts w:hint="eastAsia" w:ascii="宋体" w:hAnsi="宋体"/>
          <w:szCs w:val="21"/>
        </w:rPr>
        <w:t>4、《分包意向协议书/联合体投标协议》</w:t>
      </w:r>
    </w:p>
    <w:p>
      <w:pPr>
        <w:snapToGrid w:val="0"/>
        <w:spacing w:line="360" w:lineRule="auto"/>
        <w:rPr>
          <w:rFonts w:ascii="宋体" w:hAnsi="宋体"/>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pPr>
        <w:ind w:firstLine="420" w:firstLineChars="200"/>
        <w:rPr>
          <w:rFonts w:ascii="宋体" w:hAnsi="宋体"/>
          <w:szCs w:val="21"/>
        </w:rPr>
      </w:pPr>
    </w:p>
    <w:p>
      <w:pPr>
        <w:ind w:firstLine="420" w:firstLineChars="200"/>
        <w:rPr>
          <w:rFonts w:ascii="宋体" w:hAnsi="宋体"/>
          <w:szCs w:val="21"/>
        </w:rPr>
      </w:pPr>
    </w:p>
    <w:p>
      <w:pPr>
        <w:keepNext/>
        <w:keepLines/>
        <w:spacing w:before="260" w:after="260"/>
        <w:jc w:val="center"/>
        <w:outlineLvl w:val="2"/>
        <w:rPr>
          <w:rFonts w:ascii="宋体" w:hAnsi="宋体"/>
          <w:szCs w:val="21"/>
        </w:rPr>
      </w:pPr>
    </w:p>
    <w:p>
      <w:pPr>
        <w:keepNext/>
        <w:keepLines/>
        <w:spacing w:before="260" w:after="260"/>
        <w:jc w:val="center"/>
        <w:outlineLvl w:val="2"/>
        <w:rPr>
          <w:rFonts w:ascii="宋体" w:hAnsi="宋体"/>
          <w:szCs w:val="21"/>
        </w:rPr>
      </w:pPr>
    </w:p>
    <w:p>
      <w:pPr>
        <w:keepNext/>
        <w:keepLines/>
        <w:spacing w:before="260" w:after="260"/>
        <w:jc w:val="center"/>
        <w:outlineLvl w:val="2"/>
        <w:rPr>
          <w:rFonts w:ascii="宋体" w:hAnsi="宋体"/>
          <w:szCs w:val="21"/>
        </w:rPr>
      </w:pPr>
    </w:p>
    <w:p>
      <w:pPr>
        <w:keepNext/>
        <w:keepLines/>
        <w:spacing w:before="260" w:after="260"/>
        <w:jc w:val="center"/>
        <w:outlineLvl w:val="2"/>
        <w:rPr>
          <w:rFonts w:ascii="宋体" w:hAnsi="宋体"/>
          <w:szCs w:val="21"/>
        </w:rPr>
      </w:pPr>
    </w:p>
    <w:p>
      <w:pPr>
        <w:keepNext/>
        <w:keepLines/>
        <w:spacing w:before="260" w:after="260"/>
        <w:jc w:val="center"/>
        <w:outlineLvl w:val="2"/>
        <w:rPr>
          <w:rFonts w:ascii="宋体" w:hAnsi="宋体"/>
          <w:szCs w:val="21"/>
        </w:rPr>
      </w:pPr>
    </w:p>
    <w:p>
      <w:pPr>
        <w:keepNext/>
        <w:keepLines/>
        <w:spacing w:before="260" w:after="260"/>
        <w:jc w:val="center"/>
        <w:outlineLvl w:val="2"/>
        <w:rPr>
          <w:rFonts w:ascii="宋体" w:hAnsi="宋体"/>
          <w:szCs w:val="21"/>
        </w:rPr>
      </w:pPr>
    </w:p>
    <w:p>
      <w:pPr>
        <w:keepNext/>
        <w:keepLines/>
        <w:spacing w:before="260" w:after="260"/>
        <w:jc w:val="center"/>
        <w:outlineLvl w:val="2"/>
        <w:rPr>
          <w:rFonts w:ascii="宋体" w:hAnsi="宋体"/>
          <w:szCs w:val="21"/>
        </w:rPr>
      </w:pPr>
    </w:p>
    <w:p>
      <w:pPr>
        <w:keepNext/>
        <w:keepLines/>
        <w:spacing w:before="260" w:after="260"/>
        <w:jc w:val="center"/>
        <w:outlineLvl w:val="2"/>
        <w:rPr>
          <w:rFonts w:ascii="宋体" w:hAnsi="宋体"/>
          <w:szCs w:val="21"/>
        </w:rPr>
      </w:pPr>
    </w:p>
    <w:p>
      <w:pPr>
        <w:keepNext/>
        <w:keepLines/>
        <w:spacing w:before="260" w:after="260"/>
        <w:jc w:val="center"/>
        <w:outlineLvl w:val="2"/>
        <w:rPr>
          <w:rFonts w:ascii="宋体" w:hAnsi="宋体"/>
          <w:szCs w:val="21"/>
        </w:rPr>
      </w:pPr>
    </w:p>
    <w:p>
      <w:pPr>
        <w:widowControl/>
        <w:jc w:val="left"/>
        <w:rPr>
          <w:rFonts w:ascii="宋体" w:hAnsi="宋体"/>
          <w:b/>
          <w:szCs w:val="21"/>
        </w:rPr>
      </w:pPr>
      <w:r>
        <w:rPr>
          <w:bCs/>
          <w:szCs w:val="21"/>
        </w:rPr>
        <w:br w:type="page"/>
      </w:r>
    </w:p>
    <w:p>
      <w:pPr>
        <w:pStyle w:val="5"/>
        <w:spacing w:before="0"/>
        <w:jc w:val="center"/>
        <w:rPr>
          <w:rFonts w:ascii="黑体" w:eastAsia="黑体"/>
          <w:b w:val="0"/>
          <w:sz w:val="24"/>
          <w:szCs w:val="24"/>
        </w:rPr>
      </w:pPr>
      <w:r>
        <w:rPr>
          <w:rFonts w:hint="eastAsia" w:ascii="黑体" w:eastAsia="黑体"/>
          <w:b w:val="0"/>
          <w:sz w:val="24"/>
          <w:szCs w:val="24"/>
        </w:rPr>
        <w:t>二、政府采购履约情况反馈表</w:t>
      </w:r>
    </w:p>
    <w:p>
      <w:pPr>
        <w:spacing w:line="240" w:lineRule="atLeast"/>
        <w:rPr>
          <w:rFonts w:ascii="宋体" w:hAnsi="宋体"/>
          <w:b/>
          <w:szCs w:val="21"/>
        </w:rPr>
      </w:pPr>
      <w:r>
        <w:rPr>
          <w:rFonts w:hint="eastAsia" w:ascii="宋体" w:hAnsi="宋体"/>
          <w:b/>
          <w:szCs w:val="21"/>
        </w:rPr>
        <w:t>采购人名称：                       联系人及电话：</w:t>
      </w:r>
    </w:p>
    <w:p>
      <w:pPr>
        <w:spacing w:line="60" w:lineRule="exact"/>
        <w:rPr>
          <w:rFonts w:ascii="宋体" w:hAnsi="宋体"/>
          <w:b/>
          <w:szCs w:val="21"/>
        </w:rPr>
      </w:pPr>
    </w:p>
    <w:tbl>
      <w:tblPr>
        <w:tblStyle w:val="43"/>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采购项目名称</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项目编号</w:t>
            </w:r>
          </w:p>
        </w:tc>
        <w:tc>
          <w:tcPr>
            <w:tcW w:w="2135" w:type="dxa"/>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中标供应商名称</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供应商</w:t>
            </w:r>
          </w:p>
          <w:p>
            <w:pPr>
              <w:spacing w:line="240" w:lineRule="atLeast"/>
              <w:jc w:val="center"/>
              <w:rPr>
                <w:rFonts w:ascii="宋体" w:hAnsi="宋体"/>
                <w:szCs w:val="21"/>
              </w:rPr>
            </w:pPr>
            <w:r>
              <w:rPr>
                <w:rFonts w:hint="eastAsia" w:ascii="宋体" w:hAnsi="宋体"/>
                <w:szCs w:val="21"/>
              </w:rPr>
              <w:t>联系人及电话</w:t>
            </w:r>
          </w:p>
        </w:tc>
        <w:tc>
          <w:tcPr>
            <w:tcW w:w="2135" w:type="dxa"/>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中标金额</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合同履约时间</w:t>
            </w:r>
          </w:p>
        </w:tc>
        <w:tc>
          <w:tcPr>
            <w:tcW w:w="2135" w:type="dxa"/>
            <w:vAlign w:val="center"/>
          </w:tcPr>
          <w:p>
            <w:pPr>
              <w:spacing w:line="240" w:lineRule="atLeast"/>
              <w:rPr>
                <w:rFonts w:ascii="宋体" w:hAnsi="宋体"/>
                <w:szCs w:val="21"/>
              </w:rPr>
            </w:pPr>
            <w:r>
              <w:rPr>
                <w:rFonts w:hint="eastAsia" w:ascii="宋体" w:hAnsi="宋体"/>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pPr>
              <w:spacing w:line="240" w:lineRule="atLeast"/>
              <w:jc w:val="center"/>
              <w:rPr>
                <w:rFonts w:ascii="宋体" w:hAnsi="宋体"/>
                <w:b/>
                <w:szCs w:val="21"/>
              </w:rPr>
            </w:pPr>
            <w:r>
              <w:rPr>
                <w:rFonts w:hint="eastAsia" w:ascii="宋体" w:hAnsi="宋体"/>
                <w:b/>
                <w:szCs w:val="21"/>
              </w:rPr>
              <w:t>履约情况评价</w:t>
            </w:r>
          </w:p>
        </w:tc>
        <w:tc>
          <w:tcPr>
            <w:tcW w:w="1440" w:type="dxa"/>
            <w:gridSpan w:val="2"/>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总体评价</w:t>
            </w:r>
          </w:p>
        </w:tc>
        <w:tc>
          <w:tcPr>
            <w:tcW w:w="6635" w:type="dxa"/>
            <w:gridSpan w:val="3"/>
            <w:tcBorders>
              <w:left w:val="single" w:color="auto" w:sz="4" w:space="0"/>
            </w:tcBorders>
            <w:vAlign w:val="center"/>
          </w:tcPr>
          <w:p>
            <w:pPr>
              <w:spacing w:line="240" w:lineRule="atLeast"/>
              <w:ind w:firstLine="105" w:firstLineChars="50"/>
              <w:jc w:val="center"/>
              <w:rPr>
                <w:rFonts w:ascii="宋体" w:hAnsi="宋体"/>
                <w:szCs w:val="21"/>
              </w:rPr>
            </w:pPr>
            <w:r>
              <w:rPr>
                <w:rFonts w:hint="eastAsia" w:ascii="宋体" w:hAnsi="宋体"/>
                <w:szCs w:val="21"/>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restart"/>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分项评价</w:t>
            </w: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质量方面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价格方面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服务方面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时间方面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环境保护</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其他</w:t>
            </w:r>
          </w:p>
        </w:tc>
        <w:tc>
          <w:tcPr>
            <w:tcW w:w="6635" w:type="dxa"/>
            <w:gridSpan w:val="3"/>
            <w:tcBorders>
              <w:left w:val="single" w:color="auto" w:sz="4" w:space="0"/>
            </w:tcBorders>
            <w:vAlign w:val="center"/>
          </w:tcPr>
          <w:p>
            <w:pPr>
              <w:spacing w:beforeLines="50" w:afterLines="50" w:line="240" w:lineRule="atLeast"/>
              <w:rPr>
                <w:rFonts w:ascii="宋体" w:hAnsi="宋体"/>
                <w:szCs w:val="21"/>
                <w:u w:val="single"/>
              </w:rPr>
            </w:pPr>
            <w:r>
              <w:rPr>
                <w:rFonts w:hint="eastAsia" w:ascii="宋体" w:hAnsi="宋体"/>
                <w:szCs w:val="21"/>
              </w:rPr>
              <w:t>评价内容为：</w:t>
            </w:r>
            <w:r>
              <w:rPr>
                <w:rFonts w:hint="eastAsia" w:ascii="宋体" w:hAnsi="宋体"/>
                <w:szCs w:val="21"/>
                <w:u w:val="single"/>
              </w:rPr>
              <w:t xml:space="preserve">                    </w:t>
            </w:r>
          </w:p>
          <w:p>
            <w:pPr>
              <w:spacing w:beforeLines="50" w:afterLines="50" w:line="240" w:lineRule="atLeast"/>
              <w:rPr>
                <w:rFonts w:ascii="宋体" w:hAnsi="宋体"/>
                <w:szCs w:val="21"/>
              </w:rPr>
            </w:pPr>
            <w:r>
              <w:rPr>
                <w:rFonts w:hint="eastAsia" w:ascii="宋体" w:hAnsi="宋体"/>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1" w:hRule="atLeast"/>
          <w:jc w:val="center"/>
        </w:trPr>
        <w:tc>
          <w:tcPr>
            <w:tcW w:w="1562" w:type="dxa"/>
            <w:gridSpan w:val="2"/>
            <w:vAlign w:val="center"/>
          </w:tcPr>
          <w:p>
            <w:pPr>
              <w:spacing w:line="240" w:lineRule="atLeast"/>
              <w:jc w:val="center"/>
              <w:rPr>
                <w:rFonts w:ascii="宋体" w:hAnsi="宋体"/>
                <w:szCs w:val="21"/>
              </w:rPr>
            </w:pPr>
            <w:r>
              <w:rPr>
                <w:rFonts w:hint="eastAsia" w:ascii="宋体" w:hAnsi="宋体"/>
                <w:szCs w:val="21"/>
              </w:rPr>
              <w:t>具体情况说明</w:t>
            </w:r>
          </w:p>
        </w:tc>
        <w:tc>
          <w:tcPr>
            <w:tcW w:w="7355" w:type="dxa"/>
            <w:gridSpan w:val="4"/>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09" w:hRule="atLeast"/>
          <w:jc w:val="center"/>
        </w:trPr>
        <w:tc>
          <w:tcPr>
            <w:tcW w:w="1562" w:type="dxa"/>
            <w:gridSpan w:val="2"/>
            <w:vAlign w:val="center"/>
          </w:tcPr>
          <w:p>
            <w:pPr>
              <w:spacing w:line="240" w:lineRule="atLeast"/>
              <w:jc w:val="center"/>
              <w:rPr>
                <w:rFonts w:ascii="宋体" w:hAnsi="宋体"/>
                <w:szCs w:val="21"/>
              </w:rPr>
            </w:pPr>
            <w:r>
              <w:rPr>
                <w:rFonts w:hint="eastAsia" w:ascii="宋体" w:hAnsi="宋体"/>
                <w:szCs w:val="21"/>
              </w:rPr>
              <w:t>采购人意见</w:t>
            </w:r>
          </w:p>
          <w:p>
            <w:pPr>
              <w:spacing w:line="240" w:lineRule="atLeast"/>
              <w:jc w:val="center"/>
              <w:rPr>
                <w:rFonts w:ascii="宋体" w:hAnsi="宋体"/>
                <w:szCs w:val="21"/>
              </w:rPr>
            </w:pPr>
            <w:r>
              <w:rPr>
                <w:rFonts w:hint="eastAsia" w:ascii="宋体" w:hAnsi="宋体"/>
                <w:szCs w:val="21"/>
              </w:rPr>
              <w:t>（公章）</w:t>
            </w:r>
          </w:p>
        </w:tc>
        <w:tc>
          <w:tcPr>
            <w:tcW w:w="7355" w:type="dxa"/>
            <w:gridSpan w:val="4"/>
            <w:vAlign w:val="center"/>
          </w:tcPr>
          <w:p>
            <w:pPr>
              <w:spacing w:line="240" w:lineRule="atLeast"/>
              <w:rPr>
                <w:rFonts w:ascii="宋体" w:hAnsi="宋体"/>
                <w:szCs w:val="21"/>
              </w:rPr>
            </w:pPr>
          </w:p>
          <w:p>
            <w:pPr>
              <w:spacing w:line="240" w:lineRule="atLeast"/>
              <w:rPr>
                <w:rFonts w:ascii="宋体" w:hAnsi="宋体"/>
                <w:szCs w:val="21"/>
              </w:rPr>
            </w:pPr>
            <w:r>
              <w:rPr>
                <w:rFonts w:hint="eastAsia" w:ascii="宋体" w:hAnsi="宋体"/>
                <w:szCs w:val="21"/>
              </w:rPr>
              <w:t xml:space="preserve">                                        </w:t>
            </w:r>
          </w:p>
          <w:p>
            <w:pPr>
              <w:spacing w:line="240" w:lineRule="atLeast"/>
              <w:ind w:firstLine="3780" w:firstLineChars="1800"/>
              <w:rPr>
                <w:rFonts w:ascii="宋体" w:hAnsi="宋体"/>
                <w:szCs w:val="21"/>
              </w:rPr>
            </w:pPr>
          </w:p>
          <w:p>
            <w:pPr>
              <w:spacing w:line="240" w:lineRule="atLeast"/>
              <w:ind w:firstLine="3780" w:firstLineChars="1800"/>
              <w:rPr>
                <w:rFonts w:ascii="宋体" w:hAnsi="宋体"/>
                <w:szCs w:val="21"/>
              </w:rPr>
            </w:pPr>
            <w:r>
              <w:rPr>
                <w:rFonts w:hint="eastAsia" w:ascii="宋体" w:hAnsi="宋体"/>
                <w:szCs w:val="21"/>
              </w:rPr>
              <w:t>日期：   年   月   日</w:t>
            </w:r>
          </w:p>
        </w:tc>
      </w:tr>
    </w:tbl>
    <w:p>
      <w:pPr>
        <w:spacing w:line="240" w:lineRule="atLeast"/>
        <w:rPr>
          <w:rFonts w:ascii="宋体" w:hAnsi="宋体"/>
          <w:szCs w:val="21"/>
        </w:rPr>
      </w:pPr>
      <w:r>
        <w:rPr>
          <w:rFonts w:hint="eastAsia" w:ascii="宋体" w:hAnsi="宋体"/>
          <w:szCs w:val="21"/>
        </w:rPr>
        <w:t>说明：</w:t>
      </w:r>
    </w:p>
    <w:p>
      <w:pPr>
        <w:spacing w:line="240" w:lineRule="atLeast"/>
        <w:rPr>
          <w:rFonts w:ascii="宋体" w:hAnsi="宋体"/>
          <w:szCs w:val="21"/>
        </w:rPr>
      </w:pPr>
      <w:r>
        <w:rPr>
          <w:rFonts w:hint="eastAsia" w:ascii="宋体" w:hAnsi="宋体"/>
          <w:szCs w:val="21"/>
        </w:rPr>
        <w:t>履约情况评价分为优、良、中、差四个等级，请在对应的框前打“√”，然后在“具体情况说明”一栏详细说明有关情况。</w:t>
      </w:r>
      <w:r>
        <w:rPr>
          <w:rFonts w:ascii="宋体" w:hAnsi="宋体"/>
          <w:szCs w:val="21"/>
        </w:rPr>
        <w:tab/>
      </w:r>
      <w:r>
        <w:rPr>
          <w:rFonts w:ascii="宋体" w:hAnsi="宋体"/>
          <w:szCs w:val="21"/>
        </w:rPr>
        <w:tab/>
      </w:r>
    </w:p>
    <w:p>
      <w:pPr>
        <w:spacing w:line="240" w:lineRule="atLeast"/>
        <w:rPr>
          <w:rFonts w:ascii="宋体" w:hAnsi="宋体"/>
          <w:szCs w:val="21"/>
        </w:rPr>
        <w:sectPr>
          <w:footerReference r:id="rId3" w:type="default"/>
          <w:pgSz w:w="11906" w:h="16838"/>
          <w:pgMar w:top="1440" w:right="1417" w:bottom="1440" w:left="1417" w:header="851" w:footer="992" w:gutter="0"/>
          <w:cols w:space="720" w:num="1"/>
          <w:titlePg/>
          <w:docGrid w:type="lines" w:linePitch="312" w:charSpace="0"/>
        </w:sectPr>
      </w:pPr>
    </w:p>
    <w:p>
      <w:pPr>
        <w:jc w:val="center"/>
        <w:rPr>
          <w:rFonts w:ascii="宋体" w:hAnsi="宋体"/>
          <w:b/>
          <w:bCs/>
          <w:kern w:val="0"/>
          <w:sz w:val="24"/>
          <w:szCs w:val="20"/>
        </w:rPr>
      </w:pPr>
      <w:r>
        <w:rPr>
          <w:rFonts w:hint="eastAsia" w:ascii="宋体" w:hAnsi="宋体"/>
          <w:b/>
          <w:bCs/>
          <w:kern w:val="0"/>
          <w:sz w:val="24"/>
          <w:szCs w:val="20"/>
        </w:rPr>
        <w:t>第五章  附件</w:t>
      </w:r>
    </w:p>
    <w:p>
      <w:pPr>
        <w:jc w:val="center"/>
        <w:rPr>
          <w:rFonts w:ascii="宋体" w:hAnsi="宋体"/>
          <w:b/>
          <w:bCs/>
          <w:kern w:val="0"/>
          <w:sz w:val="24"/>
          <w:szCs w:val="20"/>
        </w:rPr>
      </w:pPr>
    </w:p>
    <w:p>
      <w:pPr>
        <w:pStyle w:val="5"/>
        <w:spacing w:before="0" w:after="0"/>
        <w:jc w:val="center"/>
      </w:pPr>
      <w:bookmarkStart w:id="20" w:name="_Toc73610162"/>
      <w:bookmarkStart w:id="21" w:name="_Toc73613644"/>
      <w:r>
        <w:rPr>
          <w:rFonts w:hint="eastAsia"/>
        </w:rPr>
        <w:t>一、财政部 工业和信息化部关于印发《政府采购促进中小企业发展管理办法》的通知</w:t>
      </w:r>
      <w:bookmarkEnd w:id="20"/>
      <w:bookmarkEnd w:id="21"/>
    </w:p>
    <w:p>
      <w:pPr>
        <w:pStyle w:val="38"/>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财库〔2020〕46号</w:t>
      </w:r>
    </w:p>
    <w:p>
      <w:pPr>
        <w:pStyle w:val="38"/>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各中央预算单位办公厅（室），各省、自治区、直辖市、计划单列市财政厅（局）、工业和信息化主管部门，新疆生产建设兵团财政局、工业和信息化主管部门：</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附件：政府采购促进中小企业发展管理办法</w:t>
      </w:r>
    </w:p>
    <w:p>
      <w:pPr>
        <w:pStyle w:val="38"/>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财　　政　　部</w:t>
      </w:r>
    </w:p>
    <w:p>
      <w:pPr>
        <w:pStyle w:val="38"/>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工业和信息化部</w:t>
      </w:r>
    </w:p>
    <w:p>
      <w:pPr>
        <w:pStyle w:val="38"/>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2020年12月18日</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38"/>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附件</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38"/>
        <w:shd w:val="clear" w:color="auto" w:fill="FFFFFF"/>
        <w:spacing w:before="0" w:beforeAutospacing="0" w:after="0" w:afterAutospacing="0" w:line="360" w:lineRule="auto"/>
        <w:jc w:val="center"/>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政府采购促进中小企业发展管理办法</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第一条</w:t>
      </w:r>
      <w:r>
        <w:rPr>
          <w:rFonts w:hint="eastAsia" w:asciiTheme="minorEastAsia" w:hAnsiTheme="minorEastAsia" w:eastAsiaTheme="minorEastAsia"/>
          <w:color w:val="333333"/>
          <w:sz w:val="21"/>
          <w:szCs w:val="21"/>
        </w:rPr>
        <w:t>　为了发挥政府采购的政策功能，促进中小企业健康发展，根据《中华人民共和国政府采购法》、《中华人民共和国中小企业促进法》等有关法律法规，制定本办法。</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第二条</w:t>
      </w:r>
      <w:r>
        <w:rPr>
          <w:rFonts w:hint="eastAsia" w:asciiTheme="minorEastAsia" w:hAnsiTheme="minorEastAsia" w:eastAsiaTheme="minorEastAsia"/>
          <w:color w:val="333333"/>
          <w:sz w:val="21"/>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符合中小企业划分标准的个体工商户，在政府采购活动中视同中小企业。</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第三条</w:t>
      </w:r>
      <w:r>
        <w:rPr>
          <w:rFonts w:hint="eastAsia" w:asciiTheme="minorEastAsia" w:hAnsiTheme="minorEastAsia" w:eastAsiaTheme="minorEastAsia"/>
          <w:color w:val="333333"/>
          <w:sz w:val="21"/>
          <w:szCs w:val="21"/>
        </w:rPr>
        <w:t>　采购人在政府采购活动中应当通过加强采购需求管理，落实预留采购份额、价格评审优惠、优先采购等措施，提高中小企业在政府采购中的份额，支持中小企业发展。</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第四条</w:t>
      </w:r>
      <w:r>
        <w:rPr>
          <w:rFonts w:hint="eastAsia" w:asciiTheme="minorEastAsia" w:hAnsiTheme="minorEastAsia" w:eastAsiaTheme="minorEastAsia"/>
          <w:color w:val="333333"/>
          <w:sz w:val="21"/>
          <w:szCs w:val="21"/>
        </w:rPr>
        <w:t>　在政府采购活动中，供应商提供的货物、工程或者服务符合下列情形的，享受本办法规定的中小企业扶持政策：</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（一）在货物采购项目中，货物由中小企业制造，即货物由中小企业生产且使用该中小企业商号或者注册商标；</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（二）在工程采购项目中，工程由中小企业承建，即工程施工单位为中小企业；</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（三）在服务采购项目中，服务由中小企业承接，即提供服务的人员为中小企业依照《中华人民共和国劳动合同法》订立劳动合同的从业人员。</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在货物采购项目中，供应商提供的货物既有中小企业制造货物，也有大型企业制造货物的，不享受本办法规定的中小企业扶持政策。</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以联合体形式参加政府采购活动，联合体各方均为中小企业的，联合体视同中小企业。其中，联合体各方均为小微企业的，联合体视同小微企业。</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第五条</w:t>
      </w:r>
      <w:r>
        <w:rPr>
          <w:rFonts w:hint="eastAsia" w:asciiTheme="minorEastAsia" w:hAnsiTheme="minorEastAsia" w:eastAsiaTheme="minorEastAsia"/>
          <w:color w:val="333333"/>
          <w:sz w:val="21"/>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第六条</w:t>
      </w:r>
      <w:r>
        <w:rPr>
          <w:rFonts w:hint="eastAsia" w:asciiTheme="minorEastAsia" w:hAnsiTheme="minorEastAsia" w:eastAsiaTheme="minorEastAsia"/>
          <w:color w:val="333333"/>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符合下列情形之一的，可不专门面向中小企业预留采购份额：</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（一）法律法规和国家有关政策明确规定优先或者应当面向事业单位、社会组织等非企业主体采购的；</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（二）因确需使用不可替代的专利、专有技术，基础设施限制，或者提供特定公共服务等原因，只能从中小企业之外的供应商处采购的；</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（三）按照本办法规定预留采购份额无法确保充分供应、充分竞争，或者存在可能影响政府采购目标实现的情形；</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（四）框架协议采购项目；</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（五）省级以上人民政府财政部门规定的其他情形。</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除上述情形外，其他均为适宜由中小企业提供的情形。</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第七条</w:t>
      </w:r>
      <w:r>
        <w:rPr>
          <w:rFonts w:hint="eastAsia" w:asciiTheme="minorEastAsia" w:hAnsiTheme="minorEastAsia" w:eastAsiaTheme="minorEastAsia"/>
          <w:color w:val="333333"/>
          <w:sz w:val="21"/>
          <w:szCs w:val="21"/>
        </w:rPr>
        <w:t>　采购限额标准以上，200万元以下的货物和服务采购项目、400万元以下的工程采购项目，适宜由中小企业提供的，采购人应当专门面向中小企业采购。</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第八条</w:t>
      </w:r>
      <w:r>
        <w:rPr>
          <w:rFonts w:hint="eastAsia" w:asciiTheme="minorEastAsia" w:hAnsiTheme="minorEastAsia" w:eastAsiaTheme="minorEastAsia"/>
          <w:color w:val="333333"/>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（一）将采购项目整体或者设置采购包专门面向中小企业采购；</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（二）要求供应商以联合体形式参加采购活动，且联合体中中小企业承担的部分达到一定比例；</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（三）要求获得采购合同的供应商将采购项目中的一定比例分包给一家或者多家中小企业。</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组成联合体或者接受分包合同的中小企业与联合体内其他企业、分包企业之间不得存在直接控股、管理关系。</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第九条</w:t>
      </w:r>
      <w:r>
        <w:rPr>
          <w:rFonts w:hint="eastAsia" w:asciiTheme="minorEastAsia" w:hAnsiTheme="minorEastAsia" w:eastAsiaTheme="minorEastAsia"/>
          <w:color w:val="333333"/>
          <w:sz w:val="21"/>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第十条</w:t>
      </w:r>
      <w:r>
        <w:rPr>
          <w:rFonts w:hint="eastAsia" w:asciiTheme="minorEastAsia" w:hAnsiTheme="minorEastAsia" w:eastAsiaTheme="minorEastAsia"/>
          <w:color w:val="333333"/>
          <w:sz w:val="21"/>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第十一条</w:t>
      </w:r>
      <w:r>
        <w:rPr>
          <w:rFonts w:hint="eastAsia" w:asciiTheme="minorEastAsia" w:hAnsiTheme="minorEastAsia" w:eastAsiaTheme="minorEastAsia"/>
          <w:color w:val="333333"/>
          <w:sz w:val="21"/>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第十二条</w:t>
      </w:r>
      <w:r>
        <w:rPr>
          <w:rFonts w:hint="eastAsia" w:asciiTheme="minorEastAsia" w:hAnsiTheme="minorEastAsia" w:eastAsiaTheme="minorEastAsia"/>
          <w:color w:val="333333"/>
          <w:sz w:val="21"/>
          <w:szCs w:val="21"/>
        </w:rPr>
        <w:t>　采购项目涉及中小企业采购的，采购文件应当明确以下内容：</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（一）预留份额的采购项目或者采购包，明确该项目或相关采购包专门面向中小企业采购，以及相关标的及预算金额；</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（二）要求以联合体形式参加或者合同分包的，明确联合协议或者分包意向协议中中小企业合同金额应当达到的比例，并作为供应商资格条件；</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（三）非预留份额的采购项目或者采购包，明确有关价格扣除比例或者价格分加分比例；</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（四）规定依据本办法规定享受扶持政策获得政府采购合同的，小微企业不得将合同分包给大中型企业，中型企业不得将合同分包给大型企业；</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（五）采购人认为具备相关条件的，明确对中小企业在资金支付期限、预付款比例等方面的优惠措施；</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（六）明确采购标的对应的中小企业划分标准所属行业；</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（七）法律法规和省级以上人民政府财政部门规定的其他事项。</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第十三条</w:t>
      </w:r>
      <w:r>
        <w:rPr>
          <w:rFonts w:hint="eastAsia" w:asciiTheme="minorEastAsia" w:hAnsiTheme="minorEastAsia" w:eastAsiaTheme="minorEastAsia"/>
          <w:color w:val="333333"/>
          <w:sz w:val="21"/>
          <w:szCs w:val="21"/>
        </w:rPr>
        <w:t>　中标、成交供应商享受本办法规定的中小企业扶持政策的，采购人、采购代理机构应当随中标、成交结果公开中标、成交供应商的《中小企业声明函》。</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适用招标投标法的政府采购工程建设项目，应当在公示中标候选人时公开中标候选人的《中小企业声明函》。</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第十四条</w:t>
      </w:r>
      <w:r>
        <w:rPr>
          <w:rFonts w:hint="eastAsia" w:asciiTheme="minorEastAsia" w:hAnsiTheme="minorEastAsia" w:eastAsiaTheme="minorEastAsia"/>
          <w:color w:val="333333"/>
          <w:sz w:val="21"/>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第十五条</w:t>
      </w:r>
      <w:r>
        <w:rPr>
          <w:rFonts w:hint="eastAsia" w:asciiTheme="minorEastAsia" w:hAnsiTheme="minorEastAsia" w:eastAsiaTheme="minorEastAsia"/>
          <w:color w:val="333333"/>
          <w:sz w:val="21"/>
          <w:szCs w:val="21"/>
        </w:rPr>
        <w:t>　鼓励各地区、各部门在采购活动中允许中小企业引入信用担保手段，为中小企业在投标（响应）保证、履约保证等方面提供专业化服务。鼓励中小企业依法合规通过政府采购合同融资。</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第十六条</w:t>
      </w:r>
      <w:r>
        <w:rPr>
          <w:rFonts w:hint="eastAsia" w:asciiTheme="minorEastAsia" w:hAnsiTheme="minorEastAsia" w:eastAsiaTheme="minorEastAsia"/>
          <w:color w:val="333333"/>
          <w:sz w:val="21"/>
          <w:szCs w:val="21"/>
        </w:rPr>
        <w:t>　政府采购监督检查、投诉处理及政府采购行政处罚中对中小企业的认定，由货物制造商或者工程、服务供应商注册登记所在地的县级以上人民政府中小企业主管部门负责。</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中小企业主管部门应当在收到财政部门或者有关招标投标行政监督部门关于协助开展中小企业认定函后10个工作日内做出书面答复。</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第十七条</w:t>
      </w:r>
      <w:r>
        <w:rPr>
          <w:rFonts w:hint="eastAsia" w:asciiTheme="minorEastAsia" w:hAnsiTheme="minorEastAsia" w:eastAsiaTheme="minorEastAsia"/>
          <w:color w:val="333333"/>
          <w:sz w:val="21"/>
          <w:szCs w:val="21"/>
        </w:rPr>
        <w:t>　各地区、各部门应当对涉及中小企业采购的预算项目实施全过程绩效管理，合理设置绩效目标和指标，落实扶持中小企业有关政策要求，定期开展绩效监控和评价，强化绩效评价结果应用。</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第十八条</w:t>
      </w:r>
      <w:r>
        <w:rPr>
          <w:rFonts w:hint="eastAsia" w:asciiTheme="minorEastAsia" w:hAnsiTheme="minorEastAsia" w:eastAsiaTheme="minorEastAsia"/>
          <w:color w:val="333333"/>
          <w:sz w:val="21"/>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第十九条</w:t>
      </w:r>
      <w:r>
        <w:rPr>
          <w:rFonts w:hint="eastAsia" w:asciiTheme="minorEastAsia" w:hAnsiTheme="minorEastAsia" w:eastAsiaTheme="minorEastAsia"/>
          <w:color w:val="333333"/>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第二十条</w:t>
      </w:r>
      <w:r>
        <w:rPr>
          <w:rFonts w:hint="eastAsia" w:asciiTheme="minorEastAsia" w:hAnsiTheme="minorEastAsia" w:eastAsiaTheme="minorEastAsia"/>
          <w:color w:val="333333"/>
          <w:sz w:val="21"/>
          <w:szCs w:val="21"/>
        </w:rPr>
        <w:t>　供应商按照本办法规定提供声明函内容不实的，属于提供虚假材料谋取中标、成交，依照《中华人民共和国政府采购法》等国家有关规定追究相应责任。</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第二十一条</w:t>
      </w:r>
      <w:r>
        <w:rPr>
          <w:rFonts w:hint="eastAsia" w:asciiTheme="minorEastAsia" w:hAnsiTheme="minorEastAsia" w:eastAsiaTheme="minorEastAsia"/>
          <w:color w:val="333333"/>
          <w:sz w:val="21"/>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第二十二条</w:t>
      </w:r>
      <w:r>
        <w:rPr>
          <w:rFonts w:hint="eastAsia" w:asciiTheme="minorEastAsia" w:hAnsiTheme="minorEastAsia" w:eastAsiaTheme="minorEastAsia"/>
          <w:color w:val="333333"/>
          <w:sz w:val="21"/>
          <w:szCs w:val="21"/>
        </w:rPr>
        <w:t>　对外援助项目、国家相关资格或者资质管理制度另有规定的项目，不适用本办法。</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第二十三条</w:t>
      </w:r>
      <w:r>
        <w:rPr>
          <w:rFonts w:hint="eastAsia" w:asciiTheme="minorEastAsia" w:hAnsiTheme="minorEastAsia" w:eastAsiaTheme="minorEastAsia"/>
          <w:color w:val="333333"/>
          <w:sz w:val="21"/>
          <w:szCs w:val="21"/>
        </w:rPr>
        <w:t>　关于视同中小企业的其他主体的政府采购扶持政策，由财政部会同有关部门另行规定。</w:t>
      </w:r>
    </w:p>
    <w:p>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第二十四条</w:t>
      </w:r>
      <w:r>
        <w:rPr>
          <w:rFonts w:hint="eastAsia" w:asciiTheme="minorEastAsia" w:hAnsiTheme="minorEastAsia" w:eastAsiaTheme="minorEastAsia"/>
          <w:color w:val="333333"/>
          <w:sz w:val="21"/>
          <w:szCs w:val="21"/>
        </w:rPr>
        <w:t>　省级财政部门可以会同中小企业主管部门根据本办法的规定制定具体实施办法。</w:t>
      </w:r>
    </w:p>
    <w:p>
      <w:pPr>
        <w:pStyle w:val="38"/>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第二十五条</w:t>
      </w:r>
      <w:r>
        <w:rPr>
          <w:rFonts w:hint="eastAsia" w:asciiTheme="minorEastAsia" w:hAnsiTheme="minorEastAsia" w:eastAsiaTheme="minorEastAsia"/>
          <w:color w:val="333333"/>
          <w:sz w:val="21"/>
          <w:szCs w:val="21"/>
        </w:rPr>
        <w:t>　本办法自2021年1月1日起施行。《财政部 工业和信息化部关于印发〈政府采购促进中小企业发展暂行办法〉的通知》（财库〔2011〕181号）同时废止。</w:t>
      </w:r>
    </w:p>
    <w:p>
      <w:pPr>
        <w:pStyle w:val="38"/>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p>
    <w:p>
      <w:pPr>
        <w:spacing w:line="360" w:lineRule="auto"/>
        <w:rPr>
          <w:rFonts w:asciiTheme="minorEastAsia" w:hAnsiTheme="minorEastAsia" w:eastAsiaTheme="minorEastAsia"/>
          <w:szCs w:val="21"/>
        </w:rPr>
      </w:pPr>
    </w:p>
    <w:p>
      <w:pPr>
        <w:pStyle w:val="5"/>
        <w:spacing w:before="0" w:after="0"/>
        <w:jc w:val="center"/>
      </w:pPr>
      <w:bookmarkStart w:id="22" w:name="_Toc73610163"/>
      <w:bookmarkStart w:id="23" w:name="_Toc73613645"/>
      <w:r>
        <w:rPr>
          <w:rFonts w:hint="eastAsia"/>
        </w:rPr>
        <w:t>二、关于印发中小企业划型标准规定的通知</w:t>
      </w:r>
      <w:bookmarkEnd w:id="22"/>
      <w:bookmarkEnd w:id="23"/>
    </w:p>
    <w:p>
      <w:pPr>
        <w:pStyle w:val="38"/>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工信部联企业〔2011〕300号</w:t>
      </w:r>
    </w:p>
    <w:p>
      <w:pPr>
        <w:pStyle w:val="3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各省、自治区、直辖市人民政府，国务院各部委、各直属机构及有关单位：</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38"/>
        <w:shd w:val="clear" w:color="auto" w:fill="FFFFFF"/>
        <w:spacing w:line="360" w:lineRule="auto"/>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工业和信息化部　国家统计局</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国家发展和改革委员会　财政部</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二○一一年六月十八日</w:t>
      </w:r>
    </w:p>
    <w:p>
      <w:pPr>
        <w:pStyle w:val="38"/>
        <w:shd w:val="clear" w:color="auto" w:fill="FFFFFF"/>
        <w:spacing w:line="360" w:lineRule="auto"/>
        <w:jc w:val="center"/>
        <w:rPr>
          <w:rFonts w:asciiTheme="minorEastAsia" w:hAnsiTheme="minorEastAsia" w:eastAsiaTheme="minorEastAsia"/>
          <w:color w:val="000000"/>
          <w:sz w:val="21"/>
          <w:szCs w:val="21"/>
        </w:rPr>
      </w:pPr>
      <w:r>
        <w:rPr>
          <w:rStyle w:val="46"/>
          <w:rFonts w:hint="eastAsia" w:asciiTheme="minorEastAsia" w:hAnsiTheme="minorEastAsia" w:eastAsiaTheme="minorEastAsia"/>
          <w:color w:val="000000"/>
          <w:sz w:val="21"/>
          <w:szCs w:val="21"/>
        </w:rPr>
        <w:t>中小企业划型标准规定</w:t>
      </w:r>
    </w:p>
    <w:p>
      <w:pPr>
        <w:pStyle w:val="3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一、根据《中华人民共和国中小企业促进法》和《国务院关于进一步促进中小企业发展的若干意见》(国发〔2009〕36号)，制定本规定。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二、中小企业划分为中型、小型、微型三种类型，具体标准根据企业从业人员、营业收入、资产总额等指标，结合行业特点制定。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四、各行业划型标准为：</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（一）农、林、牧、渔业。营业收入20000万元以下的为中小微型企业。其中，营业收入500万元及以上的为中型企业，营业收入50万元及以上的为小型企业，营业收入50万元以下的为微型企业。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（十六）其他未列明行业。从业人员300人以下的为中小微型企业。其中，从业人员100人及以上的为中型企业；从业人员10人及以上的为小型企业；从业人员10人以下的为微型企业。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五、企业类型的划分以统计部门的统计数据为依据。</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六、本规定适用于在中华人民共和国境内依法设立的各类所有制和各种组织形式的企业。个体工商户和本规定以外的行业，参照本规定进行划型。</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八、本规定由工业和信息化部、国家统计局会同有关部门根据《国民经济行业分类》修订情况和企业发展变化情况适时修订。</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九、本规定由工业和信息化部、国家统计局会同有关部门负责解释。</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十、本规定自发布之日起执行，原国家经贸委、原国家计委、财政部和国家统计局2003年颁布的《中小企业标准暂行规定》同时废止。</w:t>
      </w:r>
    </w:p>
    <w:p>
      <w:pPr>
        <w:pStyle w:val="38"/>
        <w:shd w:val="clear" w:color="auto" w:fill="FFFFFF"/>
        <w:spacing w:line="360" w:lineRule="auto"/>
        <w:rPr>
          <w:rFonts w:asciiTheme="minorEastAsia" w:hAnsiTheme="minorEastAsia" w:eastAsiaTheme="minorEastAsia"/>
          <w:color w:val="000000"/>
          <w:sz w:val="21"/>
          <w:szCs w:val="21"/>
        </w:rPr>
      </w:pPr>
    </w:p>
    <w:p>
      <w:pPr>
        <w:pStyle w:val="5"/>
        <w:spacing w:before="0" w:after="0"/>
        <w:jc w:val="center"/>
        <w:rPr>
          <w:rFonts w:asciiTheme="minorEastAsia" w:hAnsiTheme="minorEastAsia" w:eastAsiaTheme="minorEastAsia"/>
        </w:rPr>
      </w:pPr>
      <w:bookmarkStart w:id="24" w:name="_Toc73613646"/>
      <w:bookmarkStart w:id="25" w:name="_Toc73610164"/>
      <w:r>
        <w:rPr>
          <w:rFonts w:hint="eastAsia" w:asciiTheme="minorEastAsia" w:hAnsiTheme="minorEastAsia" w:eastAsiaTheme="minorEastAsia"/>
          <w:bCs w:val="0"/>
        </w:rPr>
        <w:t>三、</w:t>
      </w:r>
      <w:r>
        <w:rPr>
          <w:rFonts w:asciiTheme="minorEastAsia" w:hAnsiTheme="minorEastAsia" w:eastAsiaTheme="minorEastAsia"/>
          <w:bCs w:val="0"/>
        </w:rPr>
        <w:t>国家统计局关于印发《统计上大中小微型企业划分办法 （2017）》的通知</w:t>
      </w:r>
      <w:bookmarkEnd w:id="24"/>
      <w:bookmarkEnd w:id="25"/>
      <w:r>
        <w:rPr>
          <w:rFonts w:asciiTheme="minorEastAsia" w:hAnsiTheme="minorEastAsia" w:eastAsiaTheme="minorEastAsia"/>
          <w:bCs w:val="0"/>
        </w:rPr>
        <w:t> </w:t>
      </w: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pPr>
        <w:widowControl/>
        <w:spacing w:line="360" w:lineRule="auto"/>
        <w:jc w:val="center"/>
        <w:rPr>
          <w:rFonts w:cs="宋体" w:asciiTheme="minorEastAsia" w:hAnsiTheme="minorEastAsia" w:eastAsiaTheme="minorEastAsia"/>
          <w:b/>
          <w:bCs/>
          <w:kern w:val="0"/>
          <w:szCs w:val="21"/>
        </w:rPr>
      </w:pP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pPr>
        <w:widowControl/>
        <w:spacing w:line="360" w:lineRule="auto"/>
        <w:jc w:val="left"/>
        <w:rPr>
          <w:rFonts w:cs="宋体" w:asciiTheme="minorEastAsia" w:hAnsiTheme="minorEastAsia" w:eastAsiaTheme="minorEastAsia"/>
          <w:kern w:val="0"/>
          <w:szCs w:val="21"/>
        </w:rPr>
      </w:pP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43"/>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Theme="minorEastAsia" w:hAnsiTheme="minorEastAsia" w:eastAsiaTheme="minorEastAsia"/>
          <w:szCs w:val="21"/>
        </w:rPr>
      </w:pPr>
    </w:p>
    <w:p>
      <w:pPr>
        <w:pStyle w:val="5"/>
        <w:spacing w:before="0" w:after="0"/>
        <w:jc w:val="center"/>
      </w:pPr>
      <w:bookmarkStart w:id="26" w:name="_Toc73610165"/>
      <w:bookmarkStart w:id="27" w:name="_Toc73613647"/>
      <w:r>
        <w:rPr>
          <w:rFonts w:hint="eastAsia"/>
        </w:rPr>
        <w:t>四、</w:t>
      </w:r>
      <w:r>
        <w:t>财政部 民政部 中国残疾人联合会关于促进残疾人就业 政府采购政策的通知</w:t>
      </w:r>
      <w:bookmarkEnd w:id="26"/>
      <w:bookmarkEnd w:id="27"/>
      <w:r>
        <w:t xml:space="preserve"> </w:t>
      </w:r>
    </w:p>
    <w:p>
      <w:pPr>
        <w:pStyle w:val="38"/>
        <w:shd w:val="clear" w:color="auto" w:fill="FFFFFF"/>
        <w:spacing w:line="360" w:lineRule="auto"/>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财库〔2017〕141号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pPr>
        <w:widowControl/>
        <w:spacing w:line="360" w:lineRule="auto"/>
        <w:jc w:val="righ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pPr>
        <w:tabs>
          <w:tab w:val="left" w:pos="1875"/>
        </w:tabs>
      </w:pPr>
    </w:p>
    <w:p/>
    <w:p>
      <w:pPr>
        <w:pStyle w:val="5"/>
        <w:spacing w:before="0" w:after="0"/>
        <w:jc w:val="center"/>
      </w:pPr>
      <w:r>
        <w:rPr>
          <w:rFonts w:hint="eastAsia"/>
        </w:rPr>
        <w:t>五、财政部 司法部关于政府采购支持监狱企业发展有关问题的通知</w:t>
      </w:r>
      <w:r>
        <w:t xml:space="preserve"> </w:t>
      </w:r>
    </w:p>
    <w:p>
      <w:pPr>
        <w:widowControl/>
        <w:spacing w:line="360" w:lineRule="auto"/>
        <w:jc w:val="center"/>
        <w:rPr>
          <w:rFonts w:cs="宋体" w:asciiTheme="minorEastAsia" w:hAnsiTheme="minorEastAsia" w:eastAsiaTheme="minorEastAsia"/>
          <w:kern w:val="0"/>
          <w:szCs w:val="21"/>
        </w:rPr>
      </w:pP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widowControl/>
        <w:spacing w:line="360" w:lineRule="auto"/>
        <w:jc w:val="lef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pPr>
        <w:widowControl/>
        <w:spacing w:line="360" w:lineRule="auto"/>
        <w:jc w:val="center"/>
        <w:rPr>
          <w:rFonts w:asciiTheme="majorEastAsia" w:hAnsiTheme="majorEastAsia" w:eastAsiaTheme="majorEastAsia"/>
          <w:b/>
          <w:sz w:val="32"/>
          <w:szCs w:val="32"/>
        </w:rPr>
      </w:pPr>
      <w:r>
        <w:rPr>
          <w:rFonts w:cs="宋体" w:asciiTheme="minorEastAsia" w:hAnsiTheme="minorEastAsia" w:eastAsiaTheme="minorEastAsia"/>
          <w:kern w:val="0"/>
          <w:szCs w:val="21"/>
        </w:rPr>
        <w:br w:type="page"/>
      </w:r>
      <w:r>
        <w:rPr>
          <w:rFonts w:hint="eastAsia" w:asciiTheme="majorEastAsia" w:hAnsiTheme="majorEastAsia" w:eastAsiaTheme="majorEastAsia"/>
          <w:b/>
          <w:sz w:val="32"/>
          <w:szCs w:val="32"/>
        </w:rPr>
        <w:t>第二册  通用条款（公开招标）</w:t>
      </w:r>
    </w:p>
    <w:p>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bookmarkStart w:id="28" w:name="_Hlk72399513"/>
      <w:r>
        <w:rPr>
          <w:rFonts w:hint="eastAsia" w:asciiTheme="majorEastAsia" w:hAnsiTheme="majorEastAsia" w:eastAsiaTheme="majorEastAsia"/>
          <w:b/>
          <w:bCs/>
          <w:kern w:val="0"/>
          <w:sz w:val="28"/>
          <w:szCs w:val="28"/>
        </w:rPr>
        <w:t>总则</w:t>
      </w:r>
    </w:p>
    <w:bookmarkEnd w:id="28"/>
    <w:p>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1. 通用条款说明</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1.1采购代理机构发出招标文件通用条款版本，列出深圳市政府采购项目进行招标采购所适用的通用条款内容。</w:t>
      </w:r>
      <w:bookmarkStart w:id="29" w:name="_Hlk72399729"/>
      <w:r>
        <w:rPr>
          <w:rFonts w:hint="eastAsia" w:asciiTheme="majorEastAsia" w:hAnsiTheme="majorEastAsia" w:eastAsiaTheme="majorEastAsia"/>
          <w:szCs w:val="21"/>
        </w:rPr>
        <w:t>如有需要，采购代理机构可以对通用条款的内容进行补充。</w:t>
      </w:r>
      <w:bookmarkEnd w:id="29"/>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1.2招标文件分为第一册“专用条款”和第二册“通用条款”。</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1.3“专用条款”是对本次采购项目的具体要求，包含招标公告、对通用条款的补充内容及其他关键信息、用户需求书、投标文件格式及附件、合同条款及格式等内容。</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1.4“通用条款”是适用于政府采购公开招标项目的基础性条款，具有普遍性和通用性。</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1.5 “专用条款”和“通用条款”表述不一致或有冲突时，以“专用条款”为准。</w:t>
      </w:r>
    </w:p>
    <w:p>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2</w:t>
      </w:r>
      <w:r>
        <w:rPr>
          <w:rFonts w:asciiTheme="majorEastAsia" w:hAnsiTheme="majorEastAsia" w:eastAsiaTheme="majorEastAsia"/>
          <w:b/>
          <w:bCs/>
          <w:szCs w:val="21"/>
        </w:rPr>
        <w:t>．</w:t>
      </w:r>
      <w:r>
        <w:rPr>
          <w:rFonts w:hint="eastAsia" w:asciiTheme="majorEastAsia" w:hAnsiTheme="majorEastAsia" w:eastAsiaTheme="majorEastAsia"/>
          <w:b/>
          <w:bCs/>
          <w:szCs w:val="21"/>
        </w:rPr>
        <w:t>招标说明</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本项目按照《深圳经济特区政府采购条例》、《深圳经济特区政府采购条例实施细则》及政府采购其他法律法规，通过公开招标方式确定中标供应商。</w:t>
      </w:r>
    </w:p>
    <w:p>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3．定义</w:t>
      </w:r>
    </w:p>
    <w:p>
      <w:pPr>
        <w:spacing w:line="360" w:lineRule="auto"/>
        <w:ind w:firstLine="420" w:firstLineChars="200"/>
        <w:rPr>
          <w:rFonts w:asciiTheme="majorEastAsia" w:hAnsiTheme="majorEastAsia" w:eastAsiaTheme="majorEastAsia"/>
          <w:szCs w:val="21"/>
        </w:rPr>
      </w:pPr>
      <w:r>
        <w:rPr>
          <w:rFonts w:asciiTheme="majorEastAsia" w:hAnsiTheme="majorEastAsia" w:eastAsiaTheme="majorEastAsia"/>
          <w:szCs w:val="21"/>
        </w:rPr>
        <w:t>招标文件中下列术语应解释为：</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1</w:t>
      </w:r>
      <w:r>
        <w:rPr>
          <w:rFonts w:hint="eastAsia" w:asciiTheme="majorEastAsia" w:hAnsiTheme="majorEastAsia" w:eastAsiaTheme="majorEastAsia"/>
          <w:szCs w:val="21"/>
        </w:rPr>
        <w:t>“采购人”：指利用财政性资金依法进行政府采购的国家机关、事业单位、团体组织；</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 “政府集中采购机构”</w:t>
      </w:r>
      <w:r>
        <w:rPr>
          <w:rFonts w:hint="eastAsia" w:cs="Arial" w:asciiTheme="majorEastAsia" w:hAnsiTheme="majorEastAsia" w:eastAsiaTheme="majorEastAsia"/>
          <w:szCs w:val="21"/>
          <w:shd w:val="clear" w:color="auto" w:fill="FFFFFF"/>
        </w:rPr>
        <w:t>是指市政府设立的，对纳入集中采购目录内的采购项目组织实施采购，并对政府采购活动提供服务的专门机构；</w:t>
      </w:r>
      <w:r>
        <w:rPr>
          <w:rFonts w:hint="eastAsia" w:asciiTheme="majorEastAsia" w:hAnsiTheme="majorEastAsia" w:eastAsiaTheme="majorEastAsia"/>
          <w:szCs w:val="21"/>
        </w:rPr>
        <w:t>本文件所述的“政府集中采购机构”</w:t>
      </w:r>
      <w:r>
        <w:rPr>
          <w:rFonts w:asciiTheme="majorEastAsia" w:hAnsiTheme="majorEastAsia" w:eastAsiaTheme="majorEastAsia"/>
          <w:szCs w:val="21"/>
        </w:rPr>
        <w:t>指</w:t>
      </w:r>
      <w:r>
        <w:rPr>
          <w:rFonts w:hint="eastAsia" w:asciiTheme="majorEastAsia" w:hAnsiTheme="majorEastAsia" w:eastAsiaTheme="majorEastAsia"/>
          <w:szCs w:val="21"/>
        </w:rPr>
        <w:t>深圳公共资源交易中心；</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3.3“采购代理机构”是指根据采购人委托，代理政府采购事宜的社会采购代理机构。本招标文件的招标机构特指</w:t>
      </w:r>
      <w:r>
        <w:rPr>
          <w:rFonts w:hint="eastAsia" w:asciiTheme="majorEastAsia" w:hAnsiTheme="majorEastAsia" w:eastAsiaTheme="majorEastAsia"/>
          <w:b/>
          <w:bCs/>
          <w:szCs w:val="21"/>
        </w:rPr>
        <w:t>深圳市中正招标有限公司；</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3.4“投标人”，即供应商，指参加投标竞争并愿意按照招标文件要求向采购人提供货物、工程或者服务的依法成立的法人、其他组织或者自然人；</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3.5“评审委员会”是依据《深圳经济特区政府采购条例》、《深圳经济特区政府采购条例实施细则》等有关规定组建的专门负责本次招标其评审工作的临时性机构；</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3.6“日期”</w:t>
      </w:r>
      <w:r>
        <w:rPr>
          <w:rFonts w:asciiTheme="majorEastAsia" w:hAnsiTheme="majorEastAsia" w:eastAsiaTheme="majorEastAsia"/>
          <w:szCs w:val="21"/>
        </w:rPr>
        <w:t>指</w:t>
      </w:r>
      <w:r>
        <w:rPr>
          <w:rFonts w:hint="eastAsia" w:asciiTheme="majorEastAsia" w:hAnsiTheme="majorEastAsia" w:eastAsiaTheme="majorEastAsia"/>
          <w:szCs w:val="21"/>
        </w:rPr>
        <w:t>公历日；</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3.7“合同”指由本次招标所产生的合同或合约文件；</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3.8“电子投标文件”指利用</w:t>
      </w:r>
      <w:r>
        <w:rPr>
          <w:rFonts w:hint="eastAsia" w:asciiTheme="majorEastAsia" w:hAnsiTheme="majorEastAsia" w:eastAsiaTheme="majorEastAsia"/>
          <w:bCs/>
          <w:szCs w:val="21"/>
        </w:rPr>
        <w:t>深圳公共资源交易网</w:t>
      </w:r>
      <w:r>
        <w:rPr>
          <w:rFonts w:hint="eastAsia" w:asciiTheme="majorEastAsia" w:hAnsiTheme="majorEastAsia" w:eastAsiaTheme="majorEastAsia"/>
          <w:szCs w:val="21"/>
        </w:rPr>
        <w:t>站提供的深圳智慧采购平台投标文件制作专用软件（以下简称：投标文件制作软件）制作并加密的投标文件,适用于网上投标；（投标文件制作软件可从“下载地址：</w:t>
      </w:r>
      <w:r>
        <w:rPr>
          <w:rFonts w:asciiTheme="majorEastAsia" w:hAnsiTheme="majorEastAsia" w:eastAsiaTheme="majorEastAsia"/>
          <w:szCs w:val="21"/>
        </w:rPr>
        <w:t>http://zfcg.szggzy.com/</w:t>
      </w:r>
      <w:r>
        <w:rPr>
          <w:rFonts w:hint="eastAsia" w:asciiTheme="majorEastAsia" w:hAnsiTheme="majorEastAsia" w:eastAsiaTheme="majorEastAsia"/>
          <w:szCs w:val="21"/>
        </w:rPr>
        <w:t>TPBidder/DownLoad/深圳市智慧采购平台投标文件制作专用软件.zip”下载）；</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3.9“网上投标”指通过</w:t>
      </w:r>
      <w:r>
        <w:rPr>
          <w:rFonts w:hint="eastAsia" w:asciiTheme="majorEastAsia" w:hAnsiTheme="majorEastAsia" w:eastAsiaTheme="majorEastAsia"/>
          <w:bCs/>
          <w:szCs w:val="21"/>
        </w:rPr>
        <w:t>深圳公共资源交易网</w:t>
      </w:r>
      <w:r>
        <w:rPr>
          <w:rFonts w:hint="eastAsia" w:asciiTheme="majorEastAsia" w:hAnsiTheme="majorEastAsia" w:eastAsiaTheme="majorEastAsia"/>
          <w:szCs w:val="21"/>
        </w:rPr>
        <w:t>站上传电子投标文件；</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3.10招标文件中的标题或题名仅起引导作用，而不应视为对招标文件内容的理解和解释。</w:t>
      </w:r>
    </w:p>
    <w:p>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 xml:space="preserve">4. </w:t>
      </w:r>
      <w:bookmarkStart w:id="30" w:name="_Hlk72398643"/>
      <w:r>
        <w:rPr>
          <w:rFonts w:hint="eastAsia" w:asciiTheme="majorEastAsia" w:hAnsiTheme="majorEastAsia" w:eastAsiaTheme="majorEastAsia"/>
          <w:b/>
          <w:bCs/>
          <w:szCs w:val="21"/>
        </w:rPr>
        <w:t>政府采购供应商责任</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4.1欢迎诚信、有实力和有社会责任心的供应商参与政府采购事业。</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4.2投标人应当遵循公平竞争的原则，不得恶意串通，不得妨碍其他投标人的竞争行为，不得损害采购人或者其他投标人的合法权益。如违反上述要求，经核实后，供应商的投标无效。</w:t>
      </w:r>
    </w:p>
    <w:p>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5．投标人参加政府采购的条件</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5.1投标人应在投标前到</w:t>
      </w:r>
      <w:r>
        <w:rPr>
          <w:rFonts w:hint="eastAsia" w:asciiTheme="majorEastAsia" w:hAnsiTheme="majorEastAsia" w:eastAsiaTheme="majorEastAsia"/>
          <w:b/>
          <w:bCs/>
          <w:szCs w:val="21"/>
        </w:rPr>
        <w:t>深圳公共资源交易中心（具体在深圳交易集团有限公司政府采购业务分公司进行办理）</w:t>
      </w:r>
      <w:r>
        <w:rPr>
          <w:rFonts w:hint="eastAsia" w:asciiTheme="majorEastAsia" w:hAnsiTheme="majorEastAsia" w:eastAsiaTheme="majorEastAsia"/>
          <w:szCs w:val="21"/>
        </w:rPr>
        <w:t>进行注册并办理电子密钥。《</w:t>
      </w:r>
      <w:r>
        <w:fldChar w:fldCharType="begin"/>
      </w:r>
      <w:r>
        <w:instrText xml:space="preserve"> HYPERLINK "http://www.szzfcg.cn/viewer.do?id=2455258" \t "documentViewer2455258" </w:instrText>
      </w:r>
      <w:r>
        <w:fldChar w:fldCharType="separate"/>
      </w:r>
      <w:r>
        <w:rPr>
          <w:rFonts w:asciiTheme="majorEastAsia" w:hAnsiTheme="majorEastAsia" w:eastAsiaTheme="majorEastAsia"/>
          <w:szCs w:val="21"/>
        </w:rPr>
        <w:t>供应商注册及电子密钥新申请指引</w:t>
      </w:r>
      <w:r>
        <w:rPr>
          <w:rFonts w:asciiTheme="majorEastAsia" w:hAnsiTheme="majorEastAsia" w:eastAsiaTheme="majorEastAsia"/>
          <w:szCs w:val="21"/>
        </w:rPr>
        <w:fldChar w:fldCharType="end"/>
      </w:r>
      <w:r>
        <w:rPr>
          <w:rFonts w:hint="eastAsia" w:asciiTheme="majorEastAsia" w:hAnsiTheme="majorEastAsia" w:eastAsiaTheme="majorEastAsia"/>
          <w:szCs w:val="21"/>
        </w:rPr>
        <w:t>》详见</w:t>
      </w:r>
      <w:r>
        <w:rPr>
          <w:rFonts w:asciiTheme="majorEastAsia" w:hAnsiTheme="majorEastAsia" w:eastAsiaTheme="majorEastAsia"/>
          <w:szCs w:val="21"/>
        </w:rPr>
        <w:t>http://zfcg.szggzy.com/</w:t>
      </w:r>
      <w:r>
        <w:rPr>
          <w:rFonts w:hint="eastAsia" w:asciiTheme="majorEastAsia" w:hAnsiTheme="majorEastAsia" w:eastAsiaTheme="majorEastAsia"/>
          <w:szCs w:val="21"/>
        </w:rPr>
        <w:t>。</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5.2投标人资格要求</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参加本项目的投标人应具备的资格条件详见本项目招标公告中 “投标人资格要求”（即申请人的资格要求）的内容。</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5.3联合体投标</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5.3.1　以下有关联合体投标的条款仅适用于允许投标人组成联合体投标的项目。</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5.3.2  由两个或两个以上的自然人、法人或者其他组织可以组成一个联合体，以一个供应商的身份共同投标时，应符合以下原则：</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（1）投标联合体各方参加政府采购活动应当具备下列条件：</w:t>
      </w:r>
    </w:p>
    <w:p>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1、具有独立承担民事责任的能力；</w:t>
      </w:r>
    </w:p>
    <w:p>
      <w:pPr>
        <w:spacing w:line="360" w:lineRule="auto"/>
        <w:ind w:left="420" w:firstLine="411" w:firstLineChars="196"/>
        <w:rPr>
          <w:rFonts w:asciiTheme="majorEastAsia" w:hAnsiTheme="majorEastAsia" w:eastAsiaTheme="majorEastAsia"/>
          <w:szCs w:val="21"/>
        </w:rPr>
      </w:pPr>
      <w:r>
        <w:rPr>
          <w:rFonts w:hint="eastAsia" w:asciiTheme="majorEastAsia" w:hAnsiTheme="majorEastAsia" w:eastAsiaTheme="majorEastAsia"/>
          <w:szCs w:val="21"/>
        </w:rPr>
        <w:t>2、有良好的商业信誉和健全的财务会计制度；</w:t>
      </w:r>
    </w:p>
    <w:p>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3、具有履行合同所必需的设备和专业技术能力；</w:t>
      </w:r>
    </w:p>
    <w:p>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4、有依法缴纳税收和社会保障资金的良好记录；</w:t>
      </w:r>
    </w:p>
    <w:p>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5、参加政府采购活动前三年内，在经营活动中没有重大违法记录；</w:t>
      </w:r>
    </w:p>
    <w:p>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6、法律、行政法规规定的其他条件。</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（2）在投标截止前，投标联合体各方均应注册成深圳市政府采购供应商；</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（3）联合体中有同类资质的供应商按照联合体分工承担相同工作的，应当按照资质等级较低的供应商确定资质等级；</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（4）是否允许联合体参加投标，应当由采购人和采购代理机构根据项目的实际情况和潜在供应商的数量自主决定，如果决定接受联合体投标则应当在招标公告中明示；</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（5）投标人的投标文件及中标后签署的合同协议对联合体各方均具法律约束力；</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（6）联合体各方应当签订联合体投标协议，明确约定各方拟承担的工作和责任，并将该协议随投标文件一并递交给采购代理机构；</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（7）联合体中标后，联合体各方应当共同与采购人签订合同，就中标项目向采购人承担连带责任；</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（9）本通用条款中“投标人”一词亦指联合体各方，专用条款另有规定或说明的除外。</w:t>
      </w:r>
    </w:p>
    <w:p>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6．政策导向</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6.1政府采购扶持贫困地区、中小企业、监狱企业和残疾人福利性单位发展，支持节能减排、环境保护。</w:t>
      </w:r>
    </w:p>
    <w:p>
      <w:pPr>
        <w:spacing w:line="360" w:lineRule="auto"/>
        <w:ind w:firstLine="405"/>
        <w:rPr>
          <w:rFonts w:asciiTheme="majorEastAsia" w:hAnsiTheme="majorEastAsia" w:eastAsiaTheme="majorEastAsia"/>
          <w:szCs w:val="21"/>
          <w:shd w:val="clear" w:color="auto" w:fill="FFFFFF"/>
        </w:rPr>
      </w:pPr>
      <w:r>
        <w:rPr>
          <w:rFonts w:hint="eastAsia" w:asciiTheme="majorEastAsia" w:hAnsiTheme="majorEastAsia" w:eastAsiaTheme="majorEastAsia"/>
          <w:szCs w:val="21"/>
        </w:rPr>
        <w:t>6.2本项目落实深圳市政府采购供应商诚信管理政策要求。</w:t>
      </w:r>
    </w:p>
    <w:p>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7. 本项目若涉及采购货物，则合格的货物及相应服务应满足以下要求：</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 xml:space="preserve">.1  </w:t>
      </w:r>
      <w:r>
        <w:rPr>
          <w:rFonts w:hint="eastAsia" w:asciiTheme="majorEastAsia" w:hAnsiTheme="majorEastAsia" w:eastAsiaTheme="majorEastAsia"/>
          <w:szCs w:val="21"/>
        </w:rPr>
        <w:t>必须是全新、未使用过的原装合格正品（包括零部件），如安装或配置了软件的，须为正版软件。</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7.2  国产的货物及其有关服务必须符合中华人民共和国的设计、制造生产标准及行业标准。招标公告有其他要求的，亦应符合其要求。</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4投标人</w:t>
      </w:r>
      <w:bookmarkStart w:id="31" w:name="_Hlk72152753"/>
      <w:r>
        <w:rPr>
          <w:rFonts w:hint="eastAsia" w:asciiTheme="majorEastAsia" w:hAnsiTheme="majorEastAsia" w:eastAsiaTheme="majorEastAsia"/>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31"/>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7.6  工期要求：投标人在投标时对其所投项目应提交交货进度、交货计划等，在合同规定的时间内完成项目实施工作。</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7.7  投标人必须承担的设备运输、安装调试、验收检测和提供设备操作说明书、图纸等其他相关及类似的义务。</w:t>
      </w:r>
    </w:p>
    <w:p>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8．投标费用</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不论投标结果如何，投标人应承担其编制投标文件与递交投标文件所涉及的一切费用。</w:t>
      </w:r>
    </w:p>
    <w:p>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9．踏勘现场</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9.1如有需要（详见专用条款），采购人或采购代理机构将组织投标人对项目现场及周围环境进行踏勘，以便投标人获取有关编制投标文件和签署合同所需的资料。踏勘现场所发生的费用由投标人自行承担。投标人应按招标文件所约定的时间、地点踏勘现场。</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9.2投标人及其人员经过采购人的允许，可以进入采购人的项目现场踏勘。若招标文件要求投标人于统一时间地点踏勘现场的，投标人应当按时前往。</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9.3采购人应当通过采购代理机构向投标人提供有关现场的书面资料和数据。</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9.4任何人或任何组织在踏勘现场时向投标人提供的任何书面资料或口头承诺，未经采购代理机构在网上发布或书面通知，均作无效处理。</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9</w:t>
      </w:r>
      <w:r>
        <w:rPr>
          <w:rFonts w:hint="eastAsia" w:asciiTheme="majorEastAsia" w:hAnsiTheme="majorEastAsia" w:eastAsiaTheme="majorEastAsia"/>
          <w:szCs w:val="21"/>
        </w:rPr>
        <w:t>.</w:t>
      </w:r>
      <w:r>
        <w:rPr>
          <w:rFonts w:asciiTheme="majorEastAsia" w:hAnsiTheme="majorEastAsia" w:eastAsiaTheme="majorEastAsia"/>
          <w:szCs w:val="21"/>
        </w:rPr>
        <w:t>5</w:t>
      </w:r>
      <w:r>
        <w:rPr>
          <w:rFonts w:hint="eastAsia" w:asciiTheme="majorEastAsia" w:hAnsiTheme="majorEastAsia" w:eastAsiaTheme="majorEastAsia"/>
          <w:szCs w:val="21"/>
        </w:rPr>
        <w:t>未参与踏勘现场不作为否定投标人资格的理由。</w:t>
      </w:r>
    </w:p>
    <w:p>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0</w:t>
      </w:r>
      <w:r>
        <w:rPr>
          <w:rFonts w:hint="eastAsia" w:asciiTheme="majorEastAsia" w:hAnsiTheme="majorEastAsia" w:eastAsiaTheme="majorEastAsia"/>
          <w:b/>
          <w:bCs/>
          <w:szCs w:val="21"/>
        </w:rPr>
        <w:t>．标前会议</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0</w:t>
      </w:r>
      <w:r>
        <w:rPr>
          <w:rFonts w:hint="eastAsia" w:asciiTheme="majorEastAsia" w:hAnsiTheme="majorEastAsia" w:eastAsiaTheme="majorEastAsia"/>
          <w:szCs w:val="21"/>
        </w:rPr>
        <w:t>.</w:t>
      </w:r>
      <w:r>
        <w:rPr>
          <w:rFonts w:asciiTheme="majorEastAsia" w:hAnsiTheme="majorEastAsia" w:eastAsiaTheme="majorEastAsia"/>
          <w:szCs w:val="21"/>
        </w:rPr>
        <w:t>1</w:t>
      </w:r>
      <w:r>
        <w:rPr>
          <w:rFonts w:hint="eastAsia" w:asciiTheme="majorEastAsia" w:hAnsiTheme="majorEastAsia" w:eastAsiaTheme="majorEastAsia"/>
          <w:szCs w:val="21"/>
        </w:rPr>
        <w:t>如采购人或采购代理机构认为有必要组织标前会议，投标人应按照招标文件规定的时间或采购代理机构另行书面通知（包括采购代理机构网站发布方式，如更正公告等）的时间和地点，参与标前会议。</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10</w:t>
      </w:r>
      <w:r>
        <w:rPr>
          <w:rFonts w:hint="eastAsia" w:asciiTheme="majorEastAsia" w:hAnsiTheme="majorEastAsia" w:eastAsiaTheme="majorEastAsia"/>
          <w:szCs w:val="21"/>
        </w:rPr>
        <w:t>.</w:t>
      </w:r>
      <w:r>
        <w:rPr>
          <w:rFonts w:asciiTheme="majorEastAsia" w:hAnsiTheme="majorEastAsia" w:eastAsiaTheme="majorEastAsia"/>
          <w:szCs w:val="21"/>
        </w:rPr>
        <w:t>2</w:t>
      </w:r>
      <w:r>
        <w:rPr>
          <w:rFonts w:hint="eastAsia" w:asciiTheme="majorEastAsia" w:hAnsiTheme="majorEastAsia" w:eastAsiaTheme="majorEastAsia"/>
          <w:szCs w:val="21"/>
        </w:rPr>
        <w:t>任何人或任何组织在标前会议时向投标人提供的任何书面资料或口头承诺，未经采购代理机构在网上发布或书面通知，均作无效处理。</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0</w:t>
      </w:r>
      <w:r>
        <w:rPr>
          <w:rFonts w:hint="eastAsia" w:asciiTheme="majorEastAsia" w:hAnsiTheme="majorEastAsia" w:eastAsiaTheme="majorEastAsia"/>
          <w:szCs w:val="21"/>
        </w:rPr>
        <w:t>.</w:t>
      </w:r>
      <w:r>
        <w:rPr>
          <w:rFonts w:asciiTheme="majorEastAsia" w:hAnsiTheme="majorEastAsia" w:eastAsiaTheme="majorEastAsia"/>
          <w:szCs w:val="21"/>
        </w:rPr>
        <w:t>3</w:t>
      </w:r>
      <w:r>
        <w:rPr>
          <w:rFonts w:hint="eastAsia" w:asciiTheme="majorEastAsia" w:hAnsiTheme="majorEastAsia" w:eastAsiaTheme="majorEastAsia"/>
          <w:szCs w:val="21"/>
        </w:rPr>
        <w:t>未参与标前会议不作为否定投标人资格的理由。</w:t>
      </w:r>
    </w:p>
    <w:bookmarkEnd w:id="30"/>
    <w:p>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招标文件</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1</w:t>
      </w:r>
      <w:r>
        <w:rPr>
          <w:rFonts w:hint="eastAsia" w:asciiTheme="majorEastAsia" w:hAnsiTheme="majorEastAsia" w:eastAsiaTheme="majorEastAsia"/>
          <w:b/>
          <w:bCs/>
          <w:szCs w:val="21"/>
        </w:rPr>
        <w:t>．</w:t>
      </w:r>
      <w:bookmarkStart w:id="32" w:name="_Hlk72399819"/>
      <w:r>
        <w:rPr>
          <w:rFonts w:hint="eastAsia" w:asciiTheme="majorEastAsia" w:hAnsiTheme="majorEastAsia" w:eastAsiaTheme="majorEastAsia"/>
          <w:b/>
          <w:bCs/>
          <w:szCs w:val="21"/>
        </w:rPr>
        <w:t>招标文件的编制与组成</w:t>
      </w:r>
    </w:p>
    <w:p>
      <w:pPr>
        <w:snapToGrid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.1招标文件除以下内容外，采购代理机构在招标期间发出的澄清或修改等相关公告或通知内容，均是招标文件的组成部分，对投标人起约束作用；</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招标文件包括下列内容：</w:t>
      </w:r>
    </w:p>
    <w:p>
      <w:pPr>
        <w:spacing w:line="360" w:lineRule="auto"/>
        <w:ind w:left="420" w:leftChars="200"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第一册  专用条款</w:t>
      </w:r>
    </w:p>
    <w:p>
      <w:pPr>
        <w:spacing w:line="360" w:lineRule="auto"/>
        <w:ind w:left="1079" w:leftChars="514"/>
        <w:rPr>
          <w:rFonts w:asciiTheme="majorEastAsia" w:hAnsiTheme="majorEastAsia" w:eastAsiaTheme="majorEastAsia"/>
          <w:b/>
          <w:szCs w:val="21"/>
        </w:rPr>
      </w:pPr>
      <w:r>
        <w:rPr>
          <w:rFonts w:hint="eastAsia" w:asciiTheme="majorEastAsia" w:hAnsiTheme="majorEastAsia" w:eastAsiaTheme="majorEastAsia"/>
          <w:b/>
          <w:szCs w:val="21"/>
        </w:rPr>
        <w:t>关键信息</w:t>
      </w:r>
    </w:p>
    <w:p>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第一章  招标公告</w:t>
      </w:r>
    </w:p>
    <w:p>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第二章  对通用条款的补充内容及其他关键信息</w:t>
      </w:r>
    </w:p>
    <w:p>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第三章  用户需求书</w:t>
      </w:r>
    </w:p>
    <w:p>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第四章  投标文件格式及附件</w:t>
      </w:r>
    </w:p>
    <w:p>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第五章  合同条款及格式</w:t>
      </w:r>
    </w:p>
    <w:p>
      <w:pPr>
        <w:spacing w:line="360" w:lineRule="auto"/>
        <w:ind w:left="420" w:leftChars="200" w:firstLine="413" w:firstLineChars="196"/>
        <w:outlineLvl w:val="0"/>
        <w:rPr>
          <w:rFonts w:asciiTheme="majorEastAsia" w:hAnsiTheme="majorEastAsia" w:eastAsiaTheme="majorEastAsia"/>
          <w:b/>
          <w:szCs w:val="21"/>
        </w:rPr>
      </w:pPr>
      <w:r>
        <w:rPr>
          <w:rFonts w:hint="eastAsia" w:asciiTheme="majorEastAsia" w:hAnsiTheme="majorEastAsia" w:eastAsiaTheme="majorEastAsia"/>
          <w:b/>
          <w:szCs w:val="21"/>
        </w:rPr>
        <w:t>第二册  通用条款</w:t>
      </w:r>
    </w:p>
    <w:p>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第一章  总则</w:t>
      </w:r>
    </w:p>
    <w:p>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第二章  招标文件</w:t>
      </w:r>
    </w:p>
    <w:p>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第三章  投标文件的编制</w:t>
      </w:r>
    </w:p>
    <w:p>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第四章  投标文件的递交</w:t>
      </w:r>
    </w:p>
    <w:p>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第五章  开标</w:t>
      </w:r>
    </w:p>
    <w:p>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第六章  评审要求</w:t>
      </w:r>
    </w:p>
    <w:p>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第七章  评审程序及评审方法</w:t>
      </w:r>
    </w:p>
    <w:p>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第八章  定标及公示</w:t>
      </w:r>
    </w:p>
    <w:p>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第九章  公开招标失败的后续处理</w:t>
      </w:r>
    </w:p>
    <w:p>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第十章  合同的授予与备案</w:t>
      </w:r>
    </w:p>
    <w:p>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第十一章  质疑处理</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3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2</w:t>
      </w:r>
      <w:r>
        <w:rPr>
          <w:rFonts w:hint="eastAsia" w:asciiTheme="majorEastAsia" w:hAnsiTheme="majorEastAsia" w:eastAsiaTheme="majorEastAsia"/>
          <w:b/>
          <w:bCs/>
          <w:szCs w:val="21"/>
        </w:rPr>
        <w:t>．招标文件的澄清</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.1招标文件澄清的目的是澄清、解答投标人在查阅招标文件后或现场踏勘中可能提出的与投标有关的疑问或询问。</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.2投标人如对招标文件内容有疑问，应当在招标公告规定的澄清（提问）截止时间前以网上提问的形式通过网上政府采购系统提交采购代理机构。</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w:t>
      </w:r>
      <w:r>
        <w:rPr>
          <w:rFonts w:asciiTheme="majorEastAsia" w:hAnsiTheme="majorEastAsia" w:eastAsiaTheme="majorEastAsia"/>
          <w:szCs w:val="21"/>
        </w:rPr>
        <w:t>3.3</w:t>
      </w:r>
      <w:r>
        <w:rPr>
          <w:rFonts w:hint="eastAsia" w:asciiTheme="majorEastAsia" w:hAnsiTheme="majorEastAsia" w:eastAsiaTheme="majorEastAsia"/>
          <w:szCs w:val="21"/>
        </w:rPr>
        <w:t>、1</w:t>
      </w:r>
      <w:r>
        <w:rPr>
          <w:rFonts w:asciiTheme="majorEastAsia" w:hAnsiTheme="majorEastAsia" w:eastAsiaTheme="majorEastAsia"/>
          <w:szCs w:val="21"/>
        </w:rPr>
        <w:t>3.4</w:t>
      </w:r>
      <w:r>
        <w:rPr>
          <w:rFonts w:hint="eastAsia" w:asciiTheme="majorEastAsia" w:hAnsiTheme="majorEastAsia" w:eastAsiaTheme="majorEastAsia"/>
          <w:szCs w:val="21"/>
        </w:rPr>
        <w:t>款规定执行。</w:t>
      </w:r>
    </w:p>
    <w:p>
      <w:pPr>
        <w:spacing w:line="360" w:lineRule="auto"/>
        <w:rPr>
          <w:rFonts w:asciiTheme="majorEastAsia" w:hAnsiTheme="majorEastAsia" w:eastAsiaTheme="majorEastAsia"/>
          <w:b/>
          <w:bCs/>
          <w:szCs w:val="21"/>
        </w:rPr>
      </w:pPr>
      <w:r>
        <w:rPr>
          <w:rFonts w:asciiTheme="majorEastAsia" w:hAnsiTheme="majorEastAsia" w:eastAsiaTheme="majorEastAsia"/>
          <w:b/>
          <w:bCs/>
          <w:szCs w:val="21"/>
        </w:rPr>
        <w:t>1</w:t>
      </w:r>
      <w:r>
        <w:rPr>
          <w:rFonts w:hint="eastAsia" w:asciiTheme="majorEastAsia" w:hAnsiTheme="majorEastAsia" w:eastAsiaTheme="majorEastAsia"/>
          <w:b/>
          <w:bCs/>
          <w:szCs w:val="21"/>
        </w:rPr>
        <w:t>3．招标文件的修改</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3.1招标文件发出后，在投标截止日期前任何时候，确需要变更招标文件内容的，采购代理机构可主动或在解答投标人提出的澄清问题时对招标文件进行修改。</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3.2招标文件的修改以书面形式（包括采购代理机构网站发布方式，如更正公告等）发送给所有投标人，招标文件的修改内容作为招标文件的组成部分，并具有约束力。</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32"/>
    </w:p>
    <w:p>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投标文件的编制</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14．</w:t>
      </w:r>
      <w:bookmarkStart w:id="33" w:name="_Hlk72400236"/>
      <w:r>
        <w:rPr>
          <w:rFonts w:hint="eastAsia" w:asciiTheme="majorEastAsia" w:hAnsiTheme="majorEastAsia" w:eastAsiaTheme="majorEastAsia"/>
          <w:b/>
          <w:bCs/>
          <w:szCs w:val="21"/>
        </w:rPr>
        <w:t>投标文件的语言及度量单位</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14.2 除技术规范另有规定外，投标文件使用的度量单位，均采用中华人民共和国法定计量单位。</w:t>
      </w:r>
    </w:p>
    <w:bookmarkEnd w:id="33"/>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15．</w:t>
      </w:r>
      <w:bookmarkStart w:id="34" w:name="_Hlk72401567"/>
      <w:r>
        <w:rPr>
          <w:rFonts w:hint="eastAsia" w:asciiTheme="majorEastAsia" w:hAnsiTheme="majorEastAsia" w:eastAsiaTheme="majorEastAsia"/>
          <w:b/>
          <w:bCs/>
          <w:szCs w:val="21"/>
        </w:rPr>
        <w:t>投标文件的组成</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具体内容在招标文件专用条款中进行规定。</w:t>
      </w:r>
    </w:p>
    <w:p>
      <w:pPr>
        <w:spacing w:line="360" w:lineRule="auto"/>
        <w:rPr>
          <w:rFonts w:asciiTheme="majorEastAsia" w:hAnsiTheme="majorEastAsia" w:eastAsiaTheme="majorEastAsia"/>
          <w:b/>
          <w:bCs/>
          <w:szCs w:val="21"/>
        </w:rPr>
      </w:pPr>
      <w:r>
        <w:rPr>
          <w:rFonts w:asciiTheme="majorEastAsia" w:hAnsiTheme="majorEastAsia" w:eastAsiaTheme="majorEastAsia"/>
          <w:b/>
          <w:bCs/>
          <w:szCs w:val="21"/>
        </w:rPr>
        <w:t>16．投标文件格式</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投标文件包括本通用条款第</w:t>
      </w:r>
      <w:r>
        <w:rPr>
          <w:rFonts w:asciiTheme="majorEastAsia" w:hAnsiTheme="majorEastAsia" w:eastAsiaTheme="majorEastAsia"/>
          <w:szCs w:val="21"/>
        </w:rPr>
        <w:t>15条中规定的内容。如招标文件提供了投标文件格式，则</w:t>
      </w:r>
      <w:r>
        <w:rPr>
          <w:rFonts w:hint="eastAsia" w:asciiTheme="majorEastAsia" w:hAnsiTheme="majorEastAsia" w:eastAsiaTheme="majorEastAsia"/>
          <w:b/>
          <w:bCs/>
          <w:szCs w:val="21"/>
        </w:rPr>
        <w:t>投标人提交的投标文件应毫无例外地使用招标文件所提供的相应格式</w:t>
      </w:r>
      <w:r>
        <w:rPr>
          <w:rFonts w:hint="eastAsia" w:asciiTheme="majorEastAsia" w:hAnsiTheme="majorEastAsia" w:eastAsiaTheme="majorEastAsia"/>
          <w:szCs w:val="21"/>
        </w:rPr>
        <w:t>（表格均可按同样格式扩展）。</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17．投标货币</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本项目的投标报价应以人民币计。</w:t>
      </w:r>
    </w:p>
    <w:bookmarkEnd w:id="34"/>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18．</w:t>
      </w:r>
      <w:bookmarkStart w:id="35" w:name="_Hlk72401735"/>
      <w:r>
        <w:rPr>
          <w:rFonts w:hint="eastAsia" w:asciiTheme="majorEastAsia" w:hAnsiTheme="majorEastAsia" w:eastAsiaTheme="majorEastAsia"/>
          <w:b/>
          <w:bCs/>
          <w:szCs w:val="21"/>
        </w:rPr>
        <w:t>证明投标文件投标技术方案的合格性和符合招标文件规定的文件要求</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w:t>
      </w:r>
      <w:r>
        <w:rPr>
          <w:rFonts w:asciiTheme="majorEastAsia" w:hAnsiTheme="majorEastAsia" w:eastAsiaTheme="majorEastAsia"/>
          <w:szCs w:val="21"/>
        </w:rPr>
        <w:t xml:space="preserve">.1 </w:t>
      </w:r>
      <w:r>
        <w:rPr>
          <w:rFonts w:hint="eastAsia" w:asciiTheme="majorEastAsia" w:hAnsiTheme="majorEastAsia" w:eastAsiaTheme="majorEastAsia"/>
          <w:szCs w:val="21"/>
        </w:rPr>
        <w:t>投标人应提交证明文件，证明其投标技术方案项下的货物和服务的合格性符合招标文件规定。该投标技术方案及其证明文件均作为投标文件组成部分。</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8</w:t>
      </w:r>
      <w:r>
        <w:rPr>
          <w:rFonts w:asciiTheme="majorEastAsia" w:hAnsiTheme="majorEastAsia" w:eastAsiaTheme="majorEastAsia"/>
          <w:szCs w:val="21"/>
        </w:rPr>
        <w:t xml:space="preserve">.2 </w:t>
      </w:r>
      <w:r>
        <w:rPr>
          <w:rFonts w:hint="eastAsia" w:asciiTheme="majorEastAsia" w:hAnsiTheme="majorEastAsia" w:eastAsiaTheme="major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18.2.1主要技术指标和性能的详细说明。</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w:t>
      </w:r>
      <w:r>
        <w:rPr>
          <w:rFonts w:asciiTheme="majorEastAsia" w:hAnsiTheme="majorEastAsia" w:eastAsiaTheme="majorEastAsia"/>
          <w:szCs w:val="21"/>
        </w:rPr>
        <w:t>2</w:t>
      </w:r>
      <w:r>
        <w:rPr>
          <w:rFonts w:hint="eastAsia" w:asciiTheme="majorEastAsia" w:hAnsiTheme="majorEastAsia" w:eastAsiaTheme="majorEastAsia"/>
          <w:szCs w:val="21"/>
        </w:rPr>
        <w:t>投标产品从采购人开始使用至招标文件中规定的周期内正常、连续地使用所必须的备件和专用工具清单，包括备件和专用工具的货源及现行价格。</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w:t>
      </w:r>
      <w:r>
        <w:rPr>
          <w:rFonts w:asciiTheme="majorEastAsia" w:hAnsiTheme="majorEastAsia" w:eastAsiaTheme="majorEastAsia"/>
          <w:szCs w:val="21"/>
        </w:rPr>
        <w:t>3</w:t>
      </w:r>
      <w:r>
        <w:rPr>
          <w:rFonts w:hint="eastAsia" w:asciiTheme="majorEastAsia" w:hAnsiTheme="majorEastAsia" w:eastAsiaTheme="major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18.2.5我国政府机构出具的产品检验和核准证件应为证件正面、背面和附件标注的全部具体内容；产品检验和核准证件的尺寸和清晰度应该能够在电脑上被阅读、识别和判断，提供原件扫描件。</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18.3相关资料不符合18.2款要求的，评审委员会有权认定为投标技术方案不合格响应，其相关分数予以扣减或作投标无效处理。</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8</w:t>
      </w:r>
      <w:r>
        <w:rPr>
          <w:rFonts w:asciiTheme="majorEastAsia" w:hAnsiTheme="majorEastAsia" w:eastAsiaTheme="majorEastAsia"/>
          <w:szCs w:val="21"/>
        </w:rPr>
        <w:t>.</w:t>
      </w:r>
      <w:r>
        <w:rPr>
          <w:rFonts w:hint="eastAsia" w:asciiTheme="majorEastAsia" w:hAnsiTheme="majorEastAsia" w:eastAsiaTheme="major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18.5除非另有规定或说明，投标人对同一项目投标时，不得同时提供两套或两套以上的投标方案。</w:t>
      </w:r>
    </w:p>
    <w:bookmarkEnd w:id="35"/>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19．</w:t>
      </w:r>
      <w:bookmarkStart w:id="36" w:name="_Hlk72402034"/>
      <w:r>
        <w:rPr>
          <w:rFonts w:hint="eastAsia" w:asciiTheme="majorEastAsia" w:hAnsiTheme="majorEastAsia" w:eastAsiaTheme="majorEastAsia"/>
          <w:b/>
          <w:bCs/>
          <w:szCs w:val="21"/>
        </w:rPr>
        <w:t>投标文件其他证明文件的要求</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37" w:name="_Hlk71407299"/>
    </w:p>
    <w:bookmarkEnd w:id="37"/>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20．投标有效期</w:t>
      </w:r>
    </w:p>
    <w:bookmarkEnd w:id="36"/>
    <w:p>
      <w:pPr>
        <w:spacing w:line="360" w:lineRule="auto"/>
        <w:ind w:firstLine="411" w:firstLineChars="196"/>
        <w:rPr>
          <w:rFonts w:asciiTheme="majorEastAsia" w:hAnsiTheme="majorEastAsia" w:eastAsiaTheme="majorEastAsia"/>
          <w:szCs w:val="21"/>
        </w:rPr>
      </w:pPr>
      <w:bookmarkStart w:id="38" w:name="_Hlk72402214"/>
      <w:r>
        <w:rPr>
          <w:rFonts w:hint="eastAsia" w:asciiTheme="majorEastAsia" w:hAnsiTheme="majorEastAsia" w:eastAsiaTheme="majorEastAsia"/>
          <w:szCs w:val="21"/>
        </w:rPr>
        <w:t>20.1 投标有效期为</w:t>
      </w:r>
      <w:r>
        <w:rPr>
          <w:rFonts w:hint="eastAsia" w:cs="Arial" w:asciiTheme="majorEastAsia" w:hAnsiTheme="majorEastAsia" w:eastAsiaTheme="majorEastAsia"/>
          <w:szCs w:val="21"/>
        </w:rPr>
        <w:t>从投标截止之日算起的日历天数。</w:t>
      </w:r>
      <w:r>
        <w:rPr>
          <w:rFonts w:hint="eastAsia" w:asciiTheme="majorEastAsia" w:hAnsiTheme="majorEastAsia" w:eastAsiaTheme="majorEastAsia"/>
          <w:szCs w:val="21"/>
        </w:rPr>
        <w:t>在此期限内，所有投标文件均保持有效。</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20.2 在特殊情况下，采购代理机构在原定的投标有效期满之前，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20</w:t>
      </w:r>
      <w:r>
        <w:rPr>
          <w:rFonts w:asciiTheme="majorEastAsia" w:hAnsiTheme="majorEastAsia" w:eastAsiaTheme="majorEastAsia"/>
          <w:szCs w:val="21"/>
        </w:rPr>
        <w:t>.3</w:t>
      </w:r>
      <w:r>
        <w:rPr>
          <w:rFonts w:hint="eastAsia" w:asciiTheme="majorEastAsia" w:hAnsiTheme="majorEastAsia" w:eastAsiaTheme="majorEastAsia"/>
          <w:szCs w:val="21"/>
        </w:rPr>
        <w:t xml:space="preserve"> 中标供应商的投标文件有效期，截止于完成本招标文件规定的全部项目内容，并通过竣工验收及保修期结束。</w:t>
      </w:r>
    </w:p>
    <w:bookmarkEnd w:id="38"/>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21．</w:t>
      </w:r>
      <w:bookmarkStart w:id="39" w:name="_Hlk72402325"/>
      <w:r>
        <w:rPr>
          <w:rFonts w:hint="eastAsia" w:asciiTheme="majorEastAsia" w:hAnsiTheme="majorEastAsia" w:eastAsiaTheme="majorEastAsia"/>
          <w:szCs w:val="21"/>
        </w:rPr>
        <w:t xml:space="preserve">关于投标保证金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21.1 根据《</w:t>
      </w:r>
      <w:r>
        <w:rPr>
          <w:rFonts w:asciiTheme="majorEastAsia" w:hAnsiTheme="majorEastAsia" w:eastAsiaTheme="majorEastAsia"/>
          <w:szCs w:val="21"/>
        </w:rPr>
        <w:t>深圳市财政局关于明确政府采购保证金管理工作的通知</w:t>
      </w:r>
      <w:r>
        <w:rPr>
          <w:rFonts w:hint="eastAsia" w:asciiTheme="majorEastAsia" w:hAnsiTheme="majorEastAsia" w:eastAsiaTheme="majorEastAsia"/>
          <w:szCs w:val="21"/>
        </w:rPr>
        <w:t>》（深财购[</w:t>
      </w:r>
      <w:r>
        <w:rPr>
          <w:rFonts w:asciiTheme="majorEastAsia" w:hAnsiTheme="majorEastAsia" w:eastAsiaTheme="majorEastAsia"/>
          <w:szCs w:val="21"/>
        </w:rPr>
        <w:t>2019]42</w:t>
      </w:r>
      <w:r>
        <w:rPr>
          <w:rFonts w:hint="eastAsia" w:asciiTheme="majorEastAsia" w:hAnsiTheme="majorEastAsia" w:eastAsiaTheme="majorEastAsia"/>
          <w:szCs w:val="21"/>
        </w:rPr>
        <w:t>号）文的规定，本项目不收取投标保证金。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22．投标人的替代方案</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39"/>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23．</w:t>
      </w:r>
      <w:bookmarkStart w:id="40" w:name="_Hlk72402860"/>
      <w:r>
        <w:rPr>
          <w:rFonts w:asciiTheme="majorEastAsia" w:hAnsiTheme="majorEastAsia" w:eastAsiaTheme="majorEastAsia"/>
          <w:b/>
          <w:bCs/>
          <w:szCs w:val="21"/>
        </w:rPr>
        <w:t>投标文件的</w:t>
      </w:r>
      <w:r>
        <w:rPr>
          <w:rFonts w:hint="eastAsia" w:asciiTheme="majorEastAsia" w:hAnsiTheme="majorEastAsia" w:eastAsiaTheme="majorEastAsia"/>
          <w:b/>
          <w:bCs/>
          <w:szCs w:val="21"/>
        </w:rPr>
        <w:t>制作</w:t>
      </w:r>
      <w:r>
        <w:rPr>
          <w:rFonts w:asciiTheme="majorEastAsia" w:hAnsiTheme="majorEastAsia" w:eastAsiaTheme="majorEastAsia"/>
          <w:b/>
          <w:bCs/>
          <w:szCs w:val="21"/>
        </w:rPr>
        <w:t>要求</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23.1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rPr>
          <w:rFonts w:asciiTheme="majorEastAsia" w:hAnsiTheme="majorEastAsia" w:eastAsiaTheme="majorEastAsia"/>
          <w:szCs w:val="21"/>
        </w:rPr>
        <w:t>http://zfcg.szggzy.com/</w:t>
      </w:r>
      <w:r>
        <w:rPr>
          <w:rFonts w:hint="eastAsia" w:asciiTheme="majorEastAsia" w:hAnsiTheme="majorEastAsia" w:eastAsiaTheme="majorEastAsia"/>
          <w:szCs w:val="21"/>
        </w:rPr>
        <w:t>TPBidder/DownLoad/深圳市智慧采购平台投标文件制作专用软件.zip】。</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23.2投标人在使用《投标文件制作软件》编制投标书时须注意：</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23.2.1导入《投标文件制作软件》的招标文件项目编号、包号应与以此制作的投标文件项目编号、包号一致。例如，不能将甲项目A包的招标书导入《投标文件制作软件》，制作乙项目B包的投标书。</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23.2.2不能用非本公司的电子密钥加密本公司的投标文件，或者用其它公司的登录用户上传本公司的投标文件。</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23.2.3要求用《投标文件制作软件》编制投标书的包，不能用其它方式编制投标书。编制投标文件时，电脑须连通互联网。</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23.2.4投标文件不能带病毒。采购代理机构将用专业杀毒软件对投标文件进行病毒检测，如果这两种软件均报告发现病毒，则采购代理机构认为该投标文件带病毒。</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23.2.5完整填写“投标关键信息”，如下图所示：</w:t>
      </w:r>
    </w:p>
    <w:p>
      <w:pPr>
        <w:tabs>
          <w:tab w:val="left" w:pos="0"/>
        </w:tabs>
        <w:spacing w:line="360" w:lineRule="auto"/>
        <w:rPr>
          <w:rFonts w:asciiTheme="majorEastAsia" w:hAnsiTheme="majorEastAsia" w:eastAsiaTheme="majorEastAsia"/>
          <w:szCs w:val="21"/>
        </w:rPr>
      </w:pPr>
      <w:r>
        <w:rPr>
          <w:rFonts w:asciiTheme="majorEastAsia" w:hAnsiTheme="majorEastAsia" w:eastAsiaTheme="majorEastAsia"/>
          <w:szCs w:val="21"/>
        </w:rPr>
        <w:drawing>
          <wp:inline distT="0" distB="0" distL="0" distR="0">
            <wp:extent cx="5278755" cy="2721610"/>
            <wp:effectExtent l="0" t="0" r="0" b="2540"/>
            <wp:docPr id="8"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图形用户界面, 应用程序&#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pPr>
        <w:spacing w:line="360" w:lineRule="auto"/>
        <w:ind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备注：上述“开标一览表”中的“投标总价”将作为价格分计算依据；其它信息仅是对投标文件相关内容的概括性表述，不作为评审依据。</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23.2.6投标人在编辑投标文件时，</w:t>
      </w:r>
      <w:r>
        <w:rPr>
          <w:rFonts w:hint="eastAsia" w:asciiTheme="majorEastAsia" w:hAnsiTheme="majorEastAsia" w:eastAsiaTheme="majorEastAsia"/>
          <w:b/>
          <w:szCs w:val="21"/>
        </w:rPr>
        <w:t>在投标文件目录中属于本节点内容的必须在本节点中填写，填写到其他节点或附件，</w:t>
      </w:r>
      <w:r>
        <w:rPr>
          <w:rFonts w:hint="eastAsia" w:asciiTheme="majorEastAsia" w:hAnsiTheme="majorEastAsia" w:eastAsiaTheme="majorEastAsia"/>
          <w:szCs w:val="21"/>
        </w:rPr>
        <w:t>一切后果由供应商自行承担。</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23.2.7投标文件编写完成后，</w:t>
      </w:r>
      <w:r>
        <w:rPr>
          <w:rFonts w:hint="eastAsia" w:asciiTheme="majorEastAsia" w:hAnsiTheme="majorEastAsia" w:eastAsiaTheme="majorEastAsia"/>
          <w:b/>
          <w:szCs w:val="21"/>
        </w:rPr>
        <w:t>必须用属于投标人的电子密钥进行加密，否则视同未盖公章，将导致投标文件无效。</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23.2.8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23.2.9如果开标时出现网络故障、技术故障，影响了政府采购活动，采购代理机构有权采取措施如延期、接受无法从网上上传的投标书等，以保障政府采购活动的公开、公平和公正。</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23.3电报、电话、传真形式的投标概不接受。</w:t>
      </w:r>
    </w:p>
    <w:p>
      <w:pPr>
        <w:spacing w:line="360" w:lineRule="auto"/>
        <w:ind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23.4经投标人电子密钥加密的投标文件无须盖章或签字，</w:t>
      </w:r>
      <w:r>
        <w:rPr>
          <w:rFonts w:hint="eastAsia" w:asciiTheme="majorEastAsia" w:hAnsiTheme="majorEastAsia" w:eastAsiaTheme="majorEastAsia"/>
          <w:szCs w:val="21"/>
        </w:rPr>
        <w:t>专用条款另有要求的除外。</w:t>
      </w:r>
    </w:p>
    <w:p>
      <w:pPr>
        <w:spacing w:line="360" w:lineRule="auto"/>
        <w:ind w:firstLine="413" w:firstLineChars="196"/>
        <w:rPr>
          <w:rFonts w:asciiTheme="majorEastAsia" w:hAnsiTheme="majorEastAsia" w:eastAsiaTheme="majorEastAsia"/>
          <w:szCs w:val="21"/>
        </w:rPr>
      </w:pPr>
      <w:r>
        <w:rPr>
          <w:rFonts w:hint="eastAsia" w:asciiTheme="majorEastAsia" w:hAnsiTheme="majorEastAsia" w:eastAsiaTheme="majorEastAsia"/>
          <w:b/>
          <w:szCs w:val="21"/>
        </w:rPr>
        <w:t>23.5</w:t>
      </w:r>
      <w:r>
        <w:rPr>
          <w:rFonts w:hint="eastAsia" w:asciiTheme="majorEastAsia" w:hAnsiTheme="majorEastAsia" w:eastAsiaTheme="majorEastAsia"/>
          <w:szCs w:val="21"/>
        </w:rPr>
        <w:t xml:space="preserve"> 各类资格（资质）文件提供扫描件，专用条款另有要求的除外。</w:t>
      </w:r>
      <w:bookmarkEnd w:id="40"/>
    </w:p>
    <w:p>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投标文件的递交</w:t>
      </w:r>
      <w:bookmarkStart w:id="41" w:name="_Hlk72405459"/>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24．投标书的保密</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drawing>
          <wp:inline distT="0" distB="0" distL="0" distR="0">
            <wp:extent cx="5278755" cy="2721610"/>
            <wp:effectExtent l="0" t="0" r="0" b="2540"/>
            <wp:docPr id="9"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图形用户界面, 应用程序&#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在投标文件制作软件点击【生成标书】按钮进入【填写开标一览表界面】界面，在该界面填写完开标一览表信息后点击【确定】，进入投标文件生成环节。</w:t>
      </w:r>
      <w:r>
        <w:rPr>
          <w:rFonts w:asciiTheme="majorEastAsia" w:hAnsiTheme="majorEastAsia" w:eastAsiaTheme="majorEastAsia"/>
          <w:szCs w:val="21"/>
        </w:rPr>
        <w:drawing>
          <wp:inline distT="0" distB="0" distL="0" distR="0">
            <wp:extent cx="5278755" cy="2732405"/>
            <wp:effectExtent l="0" t="0" r="0" b="0"/>
            <wp:docPr id="12"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图形用户界面&#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投标文件制作软件会在投标文件生成过程中，提示用户输入密码，输入密码后对标文件自动进行加密。</w:t>
      </w:r>
    </w:p>
    <w:p>
      <w:pPr>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24.2若采购项目出现延期情况：</w:t>
      </w:r>
    </w:p>
    <w:p>
      <w:pPr>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如果供下载的招标文件（后缀名为.</w:t>
      </w:r>
      <w:r>
        <w:rPr>
          <w:rFonts w:asciiTheme="majorEastAsia" w:hAnsiTheme="majorEastAsia" w:eastAsiaTheme="majorEastAsia"/>
          <w:b/>
          <w:szCs w:val="21"/>
        </w:rPr>
        <w:t>szczf</w:t>
      </w:r>
      <w:r>
        <w:rPr>
          <w:rFonts w:hint="eastAsia" w:asciiTheme="majorEastAsia" w:hAnsiTheme="majorEastAsia" w:eastAsiaTheme="majorEastAsia"/>
          <w:b/>
          <w:szCs w:val="21"/>
        </w:rPr>
        <w:t>）有更新，投标人必须重新下载招标文件、重新制作投标文件、重新加密投标文件、重新上传投标文件；如果供下载的招标文件（后缀名为.</w:t>
      </w:r>
      <w:r>
        <w:rPr>
          <w:rFonts w:asciiTheme="majorEastAsia" w:hAnsiTheme="majorEastAsia" w:eastAsiaTheme="majorEastAsia"/>
          <w:b/>
          <w:szCs w:val="21"/>
        </w:rPr>
        <w:t>szczf</w:t>
      </w:r>
      <w:r>
        <w:rPr>
          <w:rFonts w:hint="eastAsia" w:asciiTheme="majorEastAsia" w:hAnsiTheme="majorEastAsia" w:eastAsiaTheme="majorEastAsia"/>
          <w:b/>
          <w:szCs w:val="21"/>
        </w:rPr>
        <w:t>）没有更新，投标人必须重新加密投标文件、重新上传投标文件（是否重新制作投标文件根据项目实际情况定）。否则，投标人自行承担投标文件无法解密导致投标无效的后果。</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25．上传投标文件及投标截止日期</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w:t>
      </w:r>
      <w:r>
        <w:rPr>
          <w:rFonts w:asciiTheme="majorEastAsia" w:hAnsiTheme="majorEastAsia" w:eastAsiaTheme="majorEastAsia"/>
          <w:szCs w:val="21"/>
        </w:rPr>
        <w:t>.</w:t>
      </w:r>
      <w:r>
        <w:rPr>
          <w:rFonts w:hint="eastAsia" w:asciiTheme="majorEastAsia" w:hAnsiTheme="majorEastAsia" w:eastAsiaTheme="majorEastAsia"/>
          <w:szCs w:val="21"/>
        </w:rPr>
        <w:t>1实行网上投标，</w:t>
      </w:r>
      <w:r>
        <w:rPr>
          <w:rFonts w:asciiTheme="majorEastAsia" w:hAnsiTheme="majorEastAsia" w:eastAsiaTheme="majorEastAsia"/>
          <w:szCs w:val="21"/>
        </w:rPr>
        <w:t>投标人必须</w:t>
      </w:r>
      <w:r>
        <w:rPr>
          <w:rFonts w:hint="eastAsia" w:asciiTheme="majorEastAsia" w:hAnsiTheme="majorEastAsia" w:eastAsiaTheme="majorEastAsia"/>
          <w:szCs w:val="21"/>
        </w:rPr>
        <w:t>在招标</w:t>
      </w:r>
      <w:r>
        <w:rPr>
          <w:rFonts w:asciiTheme="majorEastAsia" w:hAnsiTheme="majorEastAsia" w:eastAsiaTheme="majorEastAsia"/>
          <w:szCs w:val="21"/>
        </w:rPr>
        <w:t>文件规定的投标截止时间前</w:t>
      </w:r>
      <w:r>
        <w:rPr>
          <w:rFonts w:hint="eastAsia" w:asciiTheme="majorEastAsia" w:hAnsiTheme="majorEastAsia" w:eastAsiaTheme="majorEastAsia"/>
          <w:szCs w:val="21"/>
        </w:rPr>
        <w:t>用电子密钥登录“深圳政府采购智慧平台用户网上办事子系统（http://zfcg.szggzy.com/TPBidder/memberLogin）”，用“【我的项目】→【项目流程】→【递交投标(应答)文件】”功能点上传投标文件。</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25.2采购代理机构可以按本通用条款第13条规定，通过修改招标文件自行决定酌情延长投标截止期。在此情况下，采购代理机构、采购人和投标人受投标截止期制约的所有权利和义务均应延长至新的截止期。</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w:t>
      </w:r>
      <w:r>
        <w:rPr>
          <w:rFonts w:asciiTheme="majorEastAsia" w:hAnsiTheme="majorEastAsia" w:eastAsiaTheme="majorEastAsia"/>
          <w:szCs w:val="21"/>
        </w:rPr>
        <w:t>.</w:t>
      </w:r>
      <w:r>
        <w:rPr>
          <w:rFonts w:hint="eastAsia" w:asciiTheme="majorEastAsia" w:hAnsiTheme="majorEastAsia" w:eastAsiaTheme="majorEastAsia"/>
          <w:szCs w:val="21"/>
        </w:rPr>
        <w:t>3投标截止时间以后不得上传投标文件。</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25.4.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bookmarkEnd w:id="41"/>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26. 样品、现场演示、方案讲解</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26.1 样品、现场演示、方案讲解等事项在招标文件专用条款中进行规定。</w:t>
      </w:r>
    </w:p>
    <w:p>
      <w:pPr>
        <w:spacing w:line="360" w:lineRule="auto"/>
        <w:rPr>
          <w:rFonts w:asciiTheme="majorEastAsia" w:hAnsiTheme="majorEastAsia" w:eastAsiaTheme="majorEastAsia"/>
          <w:b/>
          <w:bCs/>
          <w:szCs w:val="21"/>
        </w:rPr>
      </w:pPr>
      <w:bookmarkStart w:id="42" w:name="_Hlk72428346"/>
      <w:r>
        <w:rPr>
          <w:rFonts w:asciiTheme="majorEastAsia" w:hAnsiTheme="majorEastAsia" w:eastAsiaTheme="majorEastAsia"/>
          <w:b/>
          <w:bCs/>
          <w:szCs w:val="21"/>
        </w:rPr>
        <w:t>2</w:t>
      </w:r>
      <w:r>
        <w:rPr>
          <w:rFonts w:hint="eastAsia" w:asciiTheme="majorEastAsia" w:hAnsiTheme="majorEastAsia" w:eastAsiaTheme="majorEastAsia"/>
          <w:b/>
          <w:bCs/>
          <w:szCs w:val="21"/>
        </w:rPr>
        <w:t>7．</w:t>
      </w:r>
      <w:r>
        <w:rPr>
          <w:rFonts w:asciiTheme="majorEastAsia" w:hAnsiTheme="majorEastAsia" w:eastAsiaTheme="majorEastAsia"/>
          <w:b/>
          <w:bCs/>
          <w:szCs w:val="21"/>
        </w:rPr>
        <w:t>投标文件的修改和撤销</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1</w:t>
      </w:r>
      <w:r>
        <w:rPr>
          <w:rFonts w:asciiTheme="majorEastAsia" w:hAnsiTheme="majorEastAsia" w:eastAsiaTheme="majorEastAsia"/>
          <w:szCs w:val="21"/>
        </w:rPr>
        <w:t>投标方在提交投标文件后可对其投标文件进行修改</w:t>
      </w:r>
      <w:r>
        <w:rPr>
          <w:rFonts w:hint="eastAsia" w:asciiTheme="majorEastAsia" w:hAnsiTheme="majorEastAsia" w:eastAsiaTheme="majorEastAsia"/>
          <w:szCs w:val="21"/>
        </w:rPr>
        <w:t>并重新上传投标文件</w:t>
      </w:r>
      <w:r>
        <w:rPr>
          <w:rFonts w:asciiTheme="majorEastAsia" w:hAnsiTheme="majorEastAsia" w:eastAsiaTheme="majorEastAsia"/>
          <w:szCs w:val="21"/>
        </w:rPr>
        <w:t>或</w:t>
      </w:r>
      <w:r>
        <w:rPr>
          <w:rFonts w:hint="eastAsia" w:asciiTheme="majorEastAsia" w:hAnsiTheme="majorEastAsia" w:eastAsiaTheme="majorEastAsia"/>
          <w:szCs w:val="21"/>
        </w:rPr>
        <w:t>在网上进行</w:t>
      </w:r>
      <w:r>
        <w:rPr>
          <w:rFonts w:asciiTheme="majorEastAsia" w:hAnsiTheme="majorEastAsia" w:eastAsiaTheme="majorEastAsia"/>
          <w:szCs w:val="21"/>
        </w:rPr>
        <w:t>撤销</w:t>
      </w:r>
      <w:r>
        <w:rPr>
          <w:rFonts w:hint="eastAsia" w:asciiTheme="majorEastAsia" w:hAnsiTheme="majorEastAsia" w:eastAsiaTheme="majorEastAsia"/>
          <w:szCs w:val="21"/>
        </w:rPr>
        <w:t>投标的操作</w:t>
      </w:r>
      <w:r>
        <w:rPr>
          <w:rFonts w:asciiTheme="majorEastAsia" w:hAnsiTheme="majorEastAsia" w:eastAsiaTheme="majorEastAsia"/>
          <w:szCs w:val="21"/>
        </w:rPr>
        <w:t>。</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2</w:t>
      </w:r>
      <w:r>
        <w:rPr>
          <w:rFonts w:asciiTheme="majorEastAsia" w:hAnsiTheme="majorEastAsia" w:eastAsiaTheme="majorEastAsia"/>
          <w:szCs w:val="21"/>
        </w:rPr>
        <w:t>投标截止时间以后不得修改投标文件。</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3从投标截止期至投标人在投标文件中确定的投标有效期之间的这段时间内，投标人不得撤回其投标。</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27.4采购代理机构不退还投标文件，专用条款另有规定的除外。</w:t>
      </w:r>
    </w:p>
    <w:bookmarkEnd w:id="42"/>
    <w:p>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开标</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28．开标</w:t>
      </w:r>
    </w:p>
    <w:p>
      <w:pPr>
        <w:spacing w:line="360" w:lineRule="auto"/>
        <w:ind w:firstLine="420" w:firstLineChars="200"/>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8</w:t>
      </w:r>
      <w:r>
        <w:rPr>
          <w:rFonts w:asciiTheme="majorEastAsia" w:hAnsiTheme="majorEastAsia" w:eastAsiaTheme="majorEastAsia"/>
          <w:szCs w:val="21"/>
        </w:rPr>
        <w:t>.</w:t>
      </w:r>
      <w:r>
        <w:rPr>
          <w:rFonts w:hint="eastAsia" w:asciiTheme="majorEastAsia" w:hAnsiTheme="majorEastAsia" w:eastAsiaTheme="majorEastAsia"/>
          <w:szCs w:val="21"/>
        </w:rPr>
        <w:t>1投标人须在开标当日的开标时间至解密截止时间内进行解密，逾期未解密的作无效处理。解密方法：登录“深圳政府采购智慧平台用户网上办事子系统（</w:t>
      </w:r>
      <w:r>
        <w:rPr>
          <w:rFonts w:asciiTheme="majorEastAsia" w:hAnsiTheme="majorEastAsia" w:eastAsiaTheme="majorEastAsia"/>
          <w:szCs w:val="21"/>
        </w:rPr>
        <w:t>http://zfcg.szggzy.com/</w:t>
      </w:r>
      <w:r>
        <w:rPr>
          <w:rFonts w:hint="eastAsia" w:asciiTheme="majorEastAsia" w:hAnsiTheme="majorEastAsia" w:eastAsiaTheme="majorEastAsia"/>
          <w:szCs w:val="21"/>
        </w:rPr>
        <w:t>TPBidder/memberLogin）”，使用本单位制作电子投标文件同一个电子密钥，在“【我的项目】→【项目流程】→【开标及解密】”进行在线解密、查询开标情况。</w:t>
      </w:r>
    </w:p>
    <w:p>
      <w:pPr>
        <w:spacing w:line="360" w:lineRule="auto"/>
        <w:ind w:firstLine="359" w:firstLineChars="171"/>
        <w:rPr>
          <w:rFonts w:asciiTheme="majorEastAsia" w:hAnsiTheme="majorEastAsia" w:eastAsiaTheme="majorEastAsia"/>
          <w:szCs w:val="21"/>
        </w:rPr>
      </w:pPr>
      <w:r>
        <w:rPr>
          <w:rFonts w:hint="eastAsia" w:asciiTheme="majorEastAsia" w:hAnsiTheme="majorEastAsia" w:eastAsiaTheme="majorEastAsia"/>
          <w:szCs w:val="21"/>
        </w:rPr>
        <w:t>2</w:t>
      </w:r>
      <w:r>
        <w:rPr>
          <w:rFonts w:asciiTheme="majorEastAsia" w:hAnsiTheme="majorEastAsia" w:eastAsiaTheme="majorEastAsia"/>
          <w:szCs w:val="21"/>
        </w:rPr>
        <w:t xml:space="preserve">8.2 </w:t>
      </w:r>
      <w:r>
        <w:rPr>
          <w:rFonts w:hint="eastAsia" w:asciiTheme="majorEastAsia" w:hAnsiTheme="majorEastAsia" w:eastAsiaTheme="majorEastAsia"/>
          <w:szCs w:val="21"/>
        </w:rPr>
        <w:t>采购代理机构将在满足开标条件（</w:t>
      </w:r>
      <w:r>
        <w:rPr>
          <w:rFonts w:hint="eastAsia" w:cs="宋体" w:asciiTheme="majorEastAsia" w:hAnsiTheme="majorEastAsia" w:eastAsiaTheme="majorEastAsia"/>
          <w:color w:val="333333"/>
          <w:szCs w:val="21"/>
          <w:shd w:val="clear" w:color="auto" w:fill="FFFFFF"/>
        </w:rPr>
        <w:t>①</w:t>
      </w:r>
      <w:r>
        <w:rPr>
          <w:rFonts w:hint="eastAsia" w:asciiTheme="majorEastAsia" w:hAnsiTheme="majorEastAsia" w:eastAsiaTheme="majorEastAsia"/>
          <w:szCs w:val="21"/>
        </w:rPr>
        <w:t>解密时间结束，解密后的投标供应商数量满足开标要求或</w:t>
      </w:r>
      <w:r>
        <w:rPr>
          <w:rFonts w:hint="eastAsia" w:cs="宋体" w:asciiTheme="majorEastAsia" w:hAnsiTheme="majorEastAsia" w:eastAsiaTheme="majorEastAsia"/>
          <w:color w:val="333333"/>
          <w:szCs w:val="21"/>
          <w:shd w:val="clear" w:color="auto" w:fill="FFFFFF"/>
        </w:rPr>
        <w:t>②</w:t>
      </w:r>
      <w:r>
        <w:rPr>
          <w:rFonts w:hint="eastAsia" w:asciiTheme="majorEastAsia" w:hAnsiTheme="majorEastAsia" w:eastAsiaTheme="majorEastAsia"/>
          <w:szCs w:val="21"/>
        </w:rPr>
        <w:t>解密时间结束前所有投标供应商均完成投标文件解密）后，对投标文件进行开标，并在网上公布开标结果。</w:t>
      </w:r>
    </w:p>
    <w:p>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评审要求</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29．评审委员会组成</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29.1网上开标结束后召开评审会议，评审委员会由采购代理机构依法组建，负责评审活动。</w:t>
      </w:r>
    </w:p>
    <w:p>
      <w:pPr>
        <w:spacing w:line="360" w:lineRule="auto"/>
        <w:ind w:firstLine="411" w:firstLineChars="196"/>
        <w:rPr>
          <w:rFonts w:asciiTheme="majorEastAsia" w:hAnsiTheme="majorEastAsia" w:eastAsiaTheme="majorEastAsia"/>
          <w:szCs w:val="21"/>
        </w:rPr>
      </w:pPr>
      <w:bookmarkStart w:id="43" w:name="_Hlk72436580"/>
      <w:r>
        <w:rPr>
          <w:rFonts w:hint="eastAsia" w:asciiTheme="majorEastAsia" w:hAnsiTheme="majorEastAsia" w:eastAsiaTheme="majorEastAsia"/>
          <w:szCs w:val="21"/>
        </w:rPr>
        <w:t>评审委员会由采购人代表和评审专家组成，成员人数应当为5人以上单数（部分条件下为7人以上单数），其中评审专家不得少于成员总数的三分之二。</w:t>
      </w:r>
      <w:bookmarkEnd w:id="43"/>
      <w:r>
        <w:rPr>
          <w:rFonts w:hint="eastAsia" w:asciiTheme="majorEastAsia" w:hAnsiTheme="majorEastAsia" w:eastAsiaTheme="majorEastAsia"/>
          <w:szCs w:val="21"/>
        </w:rPr>
        <w:t>评定分离项目</w:t>
      </w:r>
      <w:r>
        <w:rPr>
          <w:rFonts w:asciiTheme="majorEastAsia" w:hAnsiTheme="majorEastAsia" w:eastAsiaTheme="majorEastAsia"/>
          <w:szCs w:val="21"/>
        </w:rPr>
        <w:t>评审专家</w:t>
      </w:r>
      <w:r>
        <w:rPr>
          <w:rFonts w:hint="eastAsia" w:asciiTheme="majorEastAsia" w:hAnsiTheme="majorEastAsia" w:eastAsiaTheme="majorEastAsia"/>
          <w:szCs w:val="21"/>
        </w:rPr>
        <w:t>均</w:t>
      </w:r>
      <w:r>
        <w:rPr>
          <w:rFonts w:asciiTheme="majorEastAsia" w:hAnsiTheme="majorEastAsia" w:eastAsiaTheme="majorEastAsia"/>
          <w:szCs w:val="21"/>
        </w:rPr>
        <w:t>由</w:t>
      </w:r>
      <w:r>
        <w:rPr>
          <w:rFonts w:hint="eastAsia" w:asciiTheme="majorEastAsia" w:hAnsiTheme="majorEastAsia" w:eastAsiaTheme="majorEastAsia"/>
          <w:szCs w:val="21"/>
        </w:rPr>
        <w:t>评审专家组成。评审专家一般是从深圳市政府采购评审专家库中随机抽取。采购人代表须持本单位签发的《评审授权书》参加评审。</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29.2评审定标应当遵循公平、公正、科学、择优的原则。</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29.3评审活动依法进行，任何单位和个人不得非法干预评标过程和结果。</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29.4评审过程中不允许违背评标程序或采用招标文件未载明的评标方法或评标因素进行评标。</w:t>
      </w:r>
    </w:p>
    <w:p>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29.5 开标后，直到签订合同为止，凡属于对投标文件的审查、澄清、评价和比较的有关资料以及中标候选人的推荐情况、与评审有关的其他任何情况均严格保密（</w:t>
      </w:r>
      <w:r>
        <w:rPr>
          <w:rFonts w:hint="eastAsia" w:asciiTheme="majorEastAsia" w:hAnsiTheme="majorEastAsia" w:eastAsiaTheme="majorEastAsia"/>
          <w:szCs w:val="21"/>
        </w:rPr>
        <w:t>信息公开的内容除外</w:t>
      </w:r>
      <w:r>
        <w:rPr>
          <w:rFonts w:hint="eastAsia" w:asciiTheme="majorEastAsia" w:hAnsiTheme="majorEastAsia" w:eastAsiaTheme="majorEastAsia"/>
          <w:bCs/>
          <w:szCs w:val="21"/>
        </w:rPr>
        <w:t>）。</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30．向评审委员会提供的资料</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30.1公开发布的招标文件，包括图纸、服务清单、答疑文件等；</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30.2其他评标必须的资料。</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30.3评审委员会应当认真研究招标文件，至少应了解熟悉以下内容：</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（1）招标的目的；</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（2）招标项目需求的范围和性质；</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（3）招标文件规定的投标人的资格、财政预算限额、商务条款；</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（4）招标文件规定的评标程序、评标方法和评标因素；</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（5）招标文件所列示的资格性审查表及符合性审查表。</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31．独立评审</w:t>
      </w:r>
    </w:p>
    <w:p>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w:t>
      </w:r>
      <w:r>
        <w:rPr>
          <w:rFonts w:asciiTheme="majorEastAsia" w:hAnsiTheme="majorEastAsia" w:eastAsiaTheme="majorEastAsia"/>
          <w:bCs/>
          <w:szCs w:val="21"/>
        </w:rPr>
        <w:t>1</w:t>
      </w:r>
      <w:r>
        <w:rPr>
          <w:rFonts w:hint="eastAsia" w:asciiTheme="majorEastAsia" w:hAnsiTheme="majorEastAsia" w:eastAsiaTheme="majorEastAsia"/>
          <w:bCs/>
          <w:szCs w:val="21"/>
        </w:rPr>
        <w:t>.1</w:t>
      </w:r>
      <w:r>
        <w:rPr>
          <w:rFonts w:hint="eastAsia" w:asciiTheme="majorEastAsia" w:hAnsiTheme="majorEastAsia" w:eastAsiaTheme="majorEastAsia"/>
          <w:szCs w:val="21"/>
        </w:rPr>
        <w:t>评审委员会</w:t>
      </w:r>
      <w:r>
        <w:rPr>
          <w:rFonts w:hint="eastAsia" w:asciiTheme="majorEastAsia" w:hAnsiTheme="majorEastAsia" w:eastAsiaTheme="majorEastAsia"/>
          <w:bCs/>
          <w:szCs w:val="21"/>
        </w:rPr>
        <w:t>成员的评标活动应当独立进行，并应遵循投标文件初审、澄清有关问题、比较与评价、确定中标供应商、编写评审报告的工作程序。</w:t>
      </w:r>
    </w:p>
    <w:p>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评审程序及评审方法</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32．投标文件初审</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32.1投标文件初审包括资格性审查和符合性审查。</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资格性审查：依据法律法规和招标文件的规定，对投标文件中的资格证明等进行审查，以确定投标供应商是否具备投标资格。</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符合性审查：依据招标文件的规定，对投标文件的有效性、完整性和对招标文件的响应程度进行审查，以确定是否满足符合性审查的要求。</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32.2 投标文件初审内容请详见《资格性审查表》和《符合性审查表》部分。投标人若有一条审查不通过则按投标无效处理。</w:t>
      </w:r>
    </w:p>
    <w:p>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 投标文件初审中关于供应商家数的计算:</w:t>
      </w:r>
    </w:p>
    <w:p>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32.3.3非单一产品采购项目，采购人应当根据采购项目技术构成、产品价格比重等合理确定核心产品，并在招标文件中载明。多家投标人提供的核心产品品牌相同的，按前两款规定处理。</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32.4投标人投标文件作无效处理的情形，具体包括但不限于以下：</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32.4.1不同投标人的投标文件由同一单位或者同一个人编制，或者由同一个人分阶段参与编制；</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32.4.</w:t>
      </w:r>
      <w:r>
        <w:rPr>
          <w:rFonts w:hint="eastAsia" w:asciiTheme="majorEastAsia" w:hAnsiTheme="majorEastAsia" w:eastAsiaTheme="majorEastAsia"/>
          <w:szCs w:val="21"/>
        </w:rPr>
        <w:t>2不同投标人委托同一单位或者个人办理投标事宜；</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32.4.3不同投标人的投标文件载明的项目管理成员或者联系人员为同一人；</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32.4.4不同投标人的投标文件异常一致或者投标报价呈规律性差异；</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32.4.5</w:t>
      </w:r>
      <w:r>
        <w:rPr>
          <w:rFonts w:asciiTheme="majorEastAsia" w:hAnsiTheme="majorEastAsia" w:eastAsiaTheme="majorEastAsia"/>
          <w:szCs w:val="21"/>
        </w:rPr>
        <w:t>不同投标供应商的投标文件或部分投标文件相互混装</w:t>
      </w:r>
      <w:r>
        <w:rPr>
          <w:rFonts w:hint="eastAsia" w:asciiTheme="majorEastAsia" w:hAnsiTheme="majorEastAsia" w:eastAsiaTheme="majorEastAsia"/>
          <w:szCs w:val="21"/>
        </w:rPr>
        <w:t>；</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32.4.6投标供应商之间相互约定给予未中标的供应商利益补偿；</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32.4.7不同投标供应商的法定代表人、主要经营负责人、项目投标授权代表人、项目负责人、主要技术人员为同一人、属同一单位或者同一单位缴纳社会保险；</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32.4.8不同投标供应商的投标文件内容存在非正常一致；</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32.4.9在同一单位工作人员为两家以上（含两家）供应商进行同一项投标活动；</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32.4.10主管部门依照法律、法规认定的其他情形。</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32.5对不属于《资格性审查表》和《符合性审查表》所列的其他情形，除专用条款另有规定和32.4条款所列情形外，不得作为投标无效的理由。</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33．澄清有关问题</w:t>
      </w:r>
    </w:p>
    <w:p>
      <w:pPr>
        <w:spacing w:line="360" w:lineRule="auto"/>
        <w:ind w:firstLine="411" w:firstLineChars="196"/>
        <w:rPr>
          <w:rFonts w:asciiTheme="majorEastAsia" w:hAnsiTheme="majorEastAsia" w:eastAsiaTheme="majorEastAsia"/>
          <w:szCs w:val="21"/>
        </w:rPr>
      </w:pPr>
      <w:bookmarkStart w:id="44" w:name="_Hlk71407321"/>
      <w:r>
        <w:rPr>
          <w:rFonts w:hint="eastAsia" w:asciiTheme="majorEastAsia" w:hAnsiTheme="majorEastAsia" w:eastAsiaTheme="majorEastAsia"/>
          <w:szCs w:val="21"/>
        </w:rPr>
        <w:t>3</w:t>
      </w:r>
      <w:r>
        <w:rPr>
          <w:rFonts w:asciiTheme="majorEastAsia" w:hAnsiTheme="majorEastAsia" w:eastAsiaTheme="majorEastAsia"/>
          <w:szCs w:val="21"/>
        </w:rPr>
        <w:t>3.1</w:t>
      </w:r>
      <w:r>
        <w:rPr>
          <w:rFonts w:hint="eastAsia" w:asciiTheme="majorEastAsia" w:hAnsiTheme="majorEastAsia" w:eastAsiaTheme="majorEastAsia"/>
          <w:szCs w:val="21"/>
        </w:rPr>
        <w:t>对招标文件中描述有歧义或前后不一致的地方（不含</w:t>
      </w:r>
      <w:r>
        <w:rPr>
          <w:rFonts w:asciiTheme="majorEastAsia" w:hAnsiTheme="majorEastAsia" w:eastAsiaTheme="majorEastAsia"/>
          <w:szCs w:val="21"/>
        </w:rPr>
        <w:t>招标文件存在歧义、重大缺陷导致评</w:t>
      </w:r>
      <w:r>
        <w:rPr>
          <w:rFonts w:hint="eastAsia" w:asciiTheme="majorEastAsia" w:hAnsiTheme="majorEastAsia" w:eastAsiaTheme="majorEastAsia"/>
          <w:szCs w:val="21"/>
        </w:rPr>
        <w:t>审</w:t>
      </w:r>
      <w:r>
        <w:rPr>
          <w:rFonts w:asciiTheme="majorEastAsia" w:hAnsiTheme="majorEastAsia" w:eastAsiaTheme="majorEastAsia"/>
          <w:szCs w:val="21"/>
        </w:rPr>
        <w:t>工作无法进行</w:t>
      </w:r>
      <w:r>
        <w:rPr>
          <w:rFonts w:hint="eastAsia" w:asciiTheme="majorEastAsia" w:hAnsiTheme="majorEastAsia" w:eastAsiaTheme="majorEastAsia"/>
          <w:szCs w:val="21"/>
        </w:rPr>
        <w:t>的情况），评审委员会有权进行评判，但对同一条款的评判应适用于每个投标人。</w:t>
      </w:r>
      <w:bookmarkEnd w:id="44"/>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3.2评</w:t>
      </w:r>
      <w:r>
        <w:rPr>
          <w:rFonts w:hint="eastAsia" w:asciiTheme="majorEastAsia" w:hAnsiTheme="majorEastAsia" w:eastAsiaTheme="majorEastAsia"/>
          <w:szCs w:val="21"/>
        </w:rPr>
        <w:t>审</w:t>
      </w:r>
      <w:r>
        <w:rPr>
          <w:rFonts w:asciiTheme="majorEastAsia" w:hAnsiTheme="majorEastAsia" w:eastAsiaTheme="majorEastAsia"/>
          <w:szCs w:val="21"/>
        </w:rPr>
        <w:t>委员会发现招标文件存在歧义、重大缺陷导致评</w:t>
      </w:r>
      <w:r>
        <w:rPr>
          <w:rFonts w:hint="eastAsia" w:asciiTheme="majorEastAsia" w:hAnsiTheme="majorEastAsia" w:eastAsiaTheme="majorEastAsia"/>
          <w:szCs w:val="21"/>
        </w:rPr>
        <w:t>审</w:t>
      </w:r>
      <w:r>
        <w:rPr>
          <w:rFonts w:asciiTheme="majorEastAsia" w:hAnsiTheme="majorEastAsia" w:eastAsiaTheme="majorEastAsia"/>
          <w:szCs w:val="21"/>
        </w:rPr>
        <w:t>工作无法进行，或者招标文件内容违反国家有关强制性规定的，应当停止评</w:t>
      </w:r>
      <w:r>
        <w:rPr>
          <w:rFonts w:hint="eastAsia" w:asciiTheme="majorEastAsia" w:hAnsiTheme="majorEastAsia" w:eastAsiaTheme="majorEastAsia"/>
          <w:szCs w:val="21"/>
        </w:rPr>
        <w:t>审</w:t>
      </w:r>
      <w:r>
        <w:rPr>
          <w:rFonts w:asciiTheme="majorEastAsia" w:hAnsiTheme="majorEastAsia" w:eastAsiaTheme="majorEastAsia"/>
          <w:szCs w:val="21"/>
        </w:rPr>
        <w:t>工作，与</w:t>
      </w:r>
      <w:r>
        <w:rPr>
          <w:rFonts w:hint="eastAsia" w:asciiTheme="majorEastAsia" w:hAnsiTheme="majorEastAsia" w:eastAsiaTheme="majorEastAsia"/>
          <w:szCs w:val="21"/>
        </w:rPr>
        <w:t>采购代理机构</w:t>
      </w:r>
      <w:r>
        <w:rPr>
          <w:rFonts w:asciiTheme="majorEastAsia" w:hAnsiTheme="majorEastAsia" w:eastAsiaTheme="majorEastAsia"/>
          <w:szCs w:val="21"/>
        </w:rPr>
        <w:t>沟通并作书面记录。</w:t>
      </w:r>
      <w:r>
        <w:rPr>
          <w:rFonts w:hint="eastAsia" w:asciiTheme="majorEastAsia" w:hAnsiTheme="majorEastAsia" w:eastAsiaTheme="majorEastAsia"/>
          <w:szCs w:val="21"/>
        </w:rPr>
        <w:t>经</w:t>
      </w:r>
      <w:r>
        <w:rPr>
          <w:rFonts w:asciiTheme="majorEastAsia" w:hAnsiTheme="majorEastAsia" w:eastAsiaTheme="majorEastAsia"/>
          <w:szCs w:val="21"/>
        </w:rPr>
        <w:t>确认后，</w:t>
      </w:r>
      <w:r>
        <w:rPr>
          <w:rFonts w:hint="eastAsia" w:asciiTheme="majorEastAsia" w:hAnsiTheme="majorEastAsia" w:eastAsiaTheme="majorEastAsia"/>
          <w:szCs w:val="21"/>
        </w:rPr>
        <w:t>项目</w:t>
      </w:r>
      <w:r>
        <w:rPr>
          <w:rFonts w:asciiTheme="majorEastAsia" w:hAnsiTheme="majorEastAsia" w:eastAsiaTheme="majorEastAsia"/>
          <w:szCs w:val="21"/>
        </w:rPr>
        <w:t>应当修改招标文件，重新组织采购活动。</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33.3</w:t>
      </w:r>
      <w:r>
        <w:rPr>
          <w:rFonts w:hint="eastAsia" w:asciiTheme="majorEastAsia" w:hAnsiTheme="majorEastAsia" w:eastAsiaTheme="majorEastAsia"/>
          <w:szCs w:val="21"/>
        </w:rPr>
        <w:t>对于投标文件中含义不明确、同类问题表述不一致或者有明显文字和计算错误的内容，评审委员会应当以书面形式要求投标人作出必要的澄清、说明或者补正。</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根据本通用条款第34条，凡属于评审委员会在评审中发现的算术错误进行核实的修改不在此列。</w:t>
      </w:r>
    </w:p>
    <w:p>
      <w:pPr>
        <w:spacing w:line="360" w:lineRule="auto"/>
        <w:rPr>
          <w:rFonts w:asciiTheme="majorEastAsia" w:hAnsiTheme="majorEastAsia" w:eastAsiaTheme="majorEastAsia"/>
          <w:b/>
          <w:bCs/>
          <w:szCs w:val="21"/>
        </w:rPr>
      </w:pPr>
      <w:bookmarkStart w:id="45" w:name="_Toc73521581"/>
      <w:bookmarkStart w:id="46" w:name="_Toc73517673"/>
      <w:bookmarkStart w:id="47" w:name="_Toc73518151"/>
      <w:bookmarkStart w:id="48" w:name="_Toc100052400"/>
      <w:bookmarkStart w:id="49" w:name="_Toc73521669"/>
      <w:r>
        <w:rPr>
          <w:rFonts w:hint="eastAsia" w:asciiTheme="majorEastAsia" w:hAnsiTheme="majorEastAsia" w:eastAsiaTheme="majorEastAsia"/>
          <w:b/>
          <w:bCs/>
          <w:szCs w:val="21"/>
        </w:rPr>
        <w:t>34．错误的修正</w:t>
      </w:r>
      <w:bookmarkEnd w:id="45"/>
      <w:bookmarkEnd w:id="46"/>
      <w:bookmarkEnd w:id="47"/>
      <w:bookmarkEnd w:id="48"/>
      <w:bookmarkEnd w:id="49"/>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投标文件报价出现前后不一致的，除专用条款另有规定外，按照下列规定修正：</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34.1投标文件中开标一览表投标报价内容与投标文件中投标报价相应内容不一致的，以开标一览表为准；</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34.2大写金额和小写金额不一致的，以大写金额为准；</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34.3单价金额小数点或者百分比有明显错位，以开标一览表的总价为准，并修改单价；</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34.4总价金额与按单价汇总金额不一致的，以单价金额计算结果为准。</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34.5同时出现两种以上不一致的，按照前款规定的顺序修正。修正后的报价按照本通用条款33条的规定，经投标人确认后产生约束力，投标人不确认的，其投标无效。</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35．投标文件的比较与评价</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评审委员会成员对需要共同认定的事项存在争议的，应当按照少数服从多数的原则作出结论。持不同意见的评审委员会成员应当书面作出说明，否则视为无异议。</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36. 实地考察或资料查验</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36.1在评审过程中，评审委员会有权决定是否对本项目投标人进行实地考察或资料查验（原件）。投标人应随时做好接受实地考察或资料查验的准备。</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37．评审方法</w:t>
      </w:r>
    </w:p>
    <w:p>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37.1.1最低价法</w:t>
      </w:r>
    </w:p>
    <w:p>
      <w:pPr>
        <w:spacing w:line="360" w:lineRule="auto"/>
        <w:ind w:firstLine="411" w:firstLineChars="196"/>
        <w:rPr>
          <w:rFonts w:asciiTheme="majorEastAsia" w:hAnsiTheme="majorEastAsia" w:eastAsiaTheme="majorEastAsia"/>
          <w:szCs w:val="21"/>
        </w:rPr>
      </w:pPr>
      <w:bookmarkStart w:id="50" w:name="_Hlk72438142"/>
      <w:r>
        <w:rPr>
          <w:rFonts w:asciiTheme="majorEastAsia" w:hAnsiTheme="majorEastAsia" w:eastAsiaTheme="majorEastAsia"/>
          <w:szCs w:val="21"/>
        </w:rPr>
        <w:t>最低价法，是指</w:t>
      </w:r>
      <w:r>
        <w:rPr>
          <w:rFonts w:hint="eastAsia" w:asciiTheme="majorEastAsia" w:hAnsiTheme="majorEastAsia" w:eastAsiaTheme="majorEastAsia"/>
          <w:szCs w:val="21"/>
        </w:rPr>
        <w:t>完全</w:t>
      </w:r>
      <w:r>
        <w:rPr>
          <w:rFonts w:asciiTheme="majorEastAsia" w:hAnsiTheme="majorEastAsia" w:eastAsiaTheme="majorEastAsia"/>
          <w:szCs w:val="21"/>
        </w:rPr>
        <w:t>满足招标文件实质性要求，</w:t>
      </w:r>
      <w:r>
        <w:rPr>
          <w:rFonts w:hint="eastAsia" w:asciiTheme="majorEastAsia" w:hAnsiTheme="majorEastAsia" w:eastAsiaTheme="majorEastAsia"/>
          <w:szCs w:val="21"/>
        </w:rPr>
        <w:t>按照报价由低到高的顺序，依据招标文件中规定的数量或者比例推荐候选中标供应商。</w:t>
      </w:r>
    </w:p>
    <w:p>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37.1.2综合评分法</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综合评分法，是指</w:t>
      </w:r>
      <w:r>
        <w:rPr>
          <w:rFonts w:hint="eastAsia" w:asciiTheme="majorEastAsia" w:hAnsiTheme="majorEastAsia" w:eastAsiaTheme="majorEastAsia"/>
          <w:szCs w:val="21"/>
        </w:rPr>
        <w:t>在</w:t>
      </w:r>
      <w:r>
        <w:rPr>
          <w:rFonts w:asciiTheme="majorEastAsia" w:hAnsiTheme="majorEastAsia" w:eastAsiaTheme="majorEastAsia"/>
          <w:szCs w:val="21"/>
        </w:rPr>
        <w:t>满足招标文件全部实质性要求</w:t>
      </w:r>
      <w:r>
        <w:rPr>
          <w:rFonts w:hint="eastAsia" w:asciiTheme="majorEastAsia" w:hAnsiTheme="majorEastAsia" w:eastAsiaTheme="majorEastAsia"/>
          <w:szCs w:val="21"/>
        </w:rPr>
        <w:t>的前提下</w:t>
      </w:r>
      <w:r>
        <w:rPr>
          <w:rFonts w:asciiTheme="majorEastAsia" w:hAnsiTheme="majorEastAsia" w:eastAsiaTheme="majorEastAsia"/>
          <w:szCs w:val="21"/>
        </w:rPr>
        <w:t>，</w:t>
      </w:r>
      <w:r>
        <w:rPr>
          <w:rFonts w:hint="eastAsia" w:asciiTheme="majorEastAsia" w:hAnsiTheme="majorEastAsia" w:eastAsiaTheme="majorEastAsia"/>
          <w:szCs w:val="21"/>
        </w:rPr>
        <w:t>按照招标文件中规定的各项因素进行综合评审，评审总得分排名前列的投标人，作为推荐的候选中标供应商。</w:t>
      </w:r>
      <w:bookmarkEnd w:id="50"/>
    </w:p>
    <w:p>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37.2 本项目采用的评审方法见本项目招标文件第一册“专用条款”的相关内容。</w:t>
      </w:r>
    </w:p>
    <w:p>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37.3重新评审的情形</w:t>
      </w:r>
    </w:p>
    <w:p>
      <w:pPr>
        <w:spacing w:line="360" w:lineRule="auto"/>
        <w:ind w:firstLine="411" w:firstLineChars="196"/>
        <w:rPr>
          <w:rFonts w:asciiTheme="majorEastAsia" w:hAnsiTheme="majorEastAsia" w:eastAsiaTheme="majorEastAsia"/>
          <w:b/>
          <w:bCs/>
          <w:szCs w:val="21"/>
        </w:rPr>
      </w:pPr>
      <w:r>
        <w:rPr>
          <w:rFonts w:hint="eastAsia" w:cs="宋体" w:asciiTheme="majorEastAsia" w:hAnsiTheme="majorEastAsia" w:eastAsiaTheme="majorEastAsia"/>
          <w:szCs w:val="21"/>
        </w:rPr>
        <w:t>评审结果汇总完成后，除下列情形外，任何人不得修改评审结果：</w:t>
      </w:r>
    </w:p>
    <w:p>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37.3.1分值汇总计算错误的；</w:t>
      </w:r>
    </w:p>
    <w:p>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37.3.2分项评分超出评分标准范围的；</w:t>
      </w:r>
    </w:p>
    <w:p>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37.3.3评审委员会成员对客观评审因素评分不一致的；</w:t>
      </w:r>
    </w:p>
    <w:p>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37.3.4经评审委员会认定评分畸高、畸低的。</w:t>
      </w:r>
    </w:p>
    <w:p>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投标人对本条第一款情形提出质疑的，采购人或者采购代理机构可以组织原评审委员会进行重新评审，重新评审改变评审结果的，应当书面报告本级财政部门。</w:t>
      </w:r>
    </w:p>
    <w:p>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 xml:space="preserve"> 37.4重新组建评审委员会的情形</w:t>
      </w:r>
    </w:p>
    <w:p>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评审委员会或者其成员存在下列情形导致评审结果无效的，重新组建评审委员会进行评标，并书面报告本级财政部门：</w:t>
      </w:r>
    </w:p>
    <w:p>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37.4.1评审委员会组成不符合《政府采购货物和服务招标投标管理办法》规定的；</w:t>
      </w:r>
    </w:p>
    <w:p>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37.4.2有《政府采购货物和服务招标投标管理办法》第六十二条第一至五项情形的；</w:t>
      </w:r>
    </w:p>
    <w:p>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37.4.3评审委员会及其成员独立评标受到非法干预的；</w:t>
      </w:r>
    </w:p>
    <w:p>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37.4.4有政府采购法实施条例第七十五条规定的违法行为的。</w:t>
      </w:r>
    </w:p>
    <w:p>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有违法违规行为的原评审委员会成员不得参加重新组建的评审委员会。</w:t>
      </w:r>
    </w:p>
    <w:p>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定标及公示</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38．定标方法</w:t>
      </w:r>
    </w:p>
    <w:p>
      <w:pPr>
        <w:spacing w:line="360" w:lineRule="auto"/>
        <w:ind w:firstLine="411" w:firstLineChars="196"/>
        <w:rPr>
          <w:rFonts w:asciiTheme="majorEastAsia" w:hAnsiTheme="majorEastAsia" w:eastAsiaTheme="majorEastAsia"/>
          <w:szCs w:val="21"/>
        </w:rPr>
      </w:pPr>
      <w:bookmarkStart w:id="51" w:name="_Hlk73782795"/>
      <w:r>
        <w:rPr>
          <w:rFonts w:hint="eastAsia" w:asciiTheme="majorEastAsia" w:hAnsiTheme="majorEastAsia" w:eastAsiaTheme="majorEastAsia"/>
          <w:szCs w:val="21"/>
        </w:rPr>
        <w:t>38.1非评定分离项目定标方法</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1.1评审委员会依据本项目招标文件所约定的评审方法进行评审和比较，向采购代理机构提交书面评审报告，并根据评审方法比较评价结果从优到劣进行排序，确定候选中标供应商。</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1.2</w:t>
      </w:r>
      <w:r>
        <w:rPr>
          <w:rFonts w:asciiTheme="majorEastAsia" w:hAnsiTheme="majorEastAsia" w:eastAsiaTheme="majorEastAsia"/>
          <w:szCs w:val="21"/>
        </w:rPr>
        <w:t>采用最低价法的，评</w:t>
      </w:r>
      <w:r>
        <w:rPr>
          <w:rFonts w:hint="eastAsia" w:asciiTheme="majorEastAsia" w:hAnsiTheme="majorEastAsia" w:eastAsiaTheme="majorEastAsia"/>
          <w:szCs w:val="21"/>
        </w:rPr>
        <w:t>审</w:t>
      </w:r>
      <w:r>
        <w:rPr>
          <w:rFonts w:asciiTheme="majorEastAsia" w:hAnsiTheme="majorEastAsia" w:eastAsiaTheme="majorEastAsia"/>
          <w:szCs w:val="21"/>
        </w:rPr>
        <w:t>结果按投标报价由低到高顺序排列。投标报价相同的并列。投标文件满足招标文件全部实质性要求且投标报价最低的</w:t>
      </w:r>
      <w:r>
        <w:rPr>
          <w:rFonts w:hint="eastAsia" w:asciiTheme="majorEastAsia" w:hAnsiTheme="majorEastAsia" w:eastAsiaTheme="majorEastAsia"/>
          <w:szCs w:val="21"/>
        </w:rPr>
        <w:t>投标人为</w:t>
      </w:r>
      <w:bookmarkStart w:id="52" w:name="_Hlk73821177"/>
      <w:r>
        <w:rPr>
          <w:rFonts w:hint="eastAsia" w:asciiTheme="majorEastAsia" w:hAnsiTheme="majorEastAsia" w:eastAsiaTheme="majorEastAsia"/>
          <w:szCs w:val="21"/>
        </w:rPr>
        <w:t>中标供应商</w:t>
      </w:r>
      <w:r>
        <w:rPr>
          <w:rFonts w:asciiTheme="majorEastAsia" w:hAnsiTheme="majorEastAsia" w:eastAsiaTheme="majorEastAsia"/>
          <w:szCs w:val="21"/>
        </w:rPr>
        <w:t>（</w:t>
      </w:r>
      <w:r>
        <w:rPr>
          <w:rFonts w:hint="eastAsia" w:asciiTheme="majorEastAsia" w:hAnsiTheme="majorEastAsia" w:eastAsiaTheme="majorEastAsia"/>
          <w:szCs w:val="21"/>
        </w:rPr>
        <w:t>排名</w:t>
      </w:r>
      <w:r>
        <w:rPr>
          <w:rFonts w:asciiTheme="majorEastAsia" w:hAnsiTheme="majorEastAsia" w:eastAsiaTheme="majorEastAsia"/>
          <w:szCs w:val="21"/>
        </w:rPr>
        <w:t>第二</w:t>
      </w:r>
      <w:r>
        <w:rPr>
          <w:rFonts w:hint="eastAsia" w:asciiTheme="majorEastAsia" w:hAnsiTheme="majorEastAsia" w:eastAsiaTheme="majorEastAsia"/>
          <w:szCs w:val="21"/>
        </w:rPr>
        <w:t>的投标人为第一替补中标候选人、排名</w:t>
      </w:r>
      <w:r>
        <w:rPr>
          <w:rFonts w:asciiTheme="majorEastAsia" w:hAnsiTheme="majorEastAsia" w:eastAsiaTheme="majorEastAsia"/>
          <w:szCs w:val="21"/>
        </w:rPr>
        <w:t>第</w:t>
      </w:r>
      <w:r>
        <w:rPr>
          <w:rFonts w:hint="eastAsia" w:asciiTheme="majorEastAsia" w:hAnsiTheme="majorEastAsia" w:eastAsiaTheme="majorEastAsia"/>
          <w:szCs w:val="21"/>
        </w:rPr>
        <w:t>三的投标人为第二替补中标候选人</w:t>
      </w:r>
      <w:bookmarkEnd w:id="52"/>
      <w:r>
        <w:rPr>
          <w:rFonts w:asciiTheme="majorEastAsia" w:hAnsiTheme="majorEastAsia" w:eastAsiaTheme="majorEastAsia"/>
          <w:szCs w:val="21"/>
        </w:rPr>
        <w:t>）。</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1.3</w:t>
      </w:r>
      <w:r>
        <w:rPr>
          <w:rFonts w:asciiTheme="majorEastAsia" w:hAnsiTheme="majorEastAsia" w:eastAsiaTheme="major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Theme="majorEastAsia" w:hAnsiTheme="majorEastAsia" w:eastAsiaTheme="majorEastAsia"/>
          <w:szCs w:val="21"/>
        </w:rPr>
        <w:t>为中标供应商</w:t>
      </w:r>
      <w:r>
        <w:rPr>
          <w:rFonts w:asciiTheme="majorEastAsia" w:hAnsiTheme="majorEastAsia" w:eastAsiaTheme="majorEastAsia"/>
          <w:szCs w:val="21"/>
        </w:rPr>
        <w:t>（</w:t>
      </w:r>
      <w:r>
        <w:rPr>
          <w:rFonts w:hint="eastAsia" w:asciiTheme="majorEastAsia" w:hAnsiTheme="majorEastAsia" w:eastAsiaTheme="majorEastAsia"/>
          <w:szCs w:val="21"/>
        </w:rPr>
        <w:t>中标候选人如不止一名，则推选排名</w:t>
      </w:r>
      <w:r>
        <w:rPr>
          <w:rFonts w:asciiTheme="majorEastAsia" w:hAnsiTheme="majorEastAsia" w:eastAsiaTheme="majorEastAsia"/>
          <w:szCs w:val="21"/>
        </w:rPr>
        <w:t>第二</w:t>
      </w:r>
      <w:r>
        <w:rPr>
          <w:rFonts w:hint="eastAsia" w:asciiTheme="majorEastAsia" w:hAnsiTheme="majorEastAsia" w:eastAsiaTheme="majorEastAsia"/>
          <w:szCs w:val="21"/>
        </w:rPr>
        <w:t>的投标人为第一替补中标候选人、排名</w:t>
      </w:r>
      <w:r>
        <w:rPr>
          <w:rFonts w:asciiTheme="majorEastAsia" w:hAnsiTheme="majorEastAsia" w:eastAsiaTheme="majorEastAsia"/>
          <w:szCs w:val="21"/>
        </w:rPr>
        <w:t>第</w:t>
      </w:r>
      <w:r>
        <w:rPr>
          <w:rFonts w:hint="eastAsia" w:asciiTheme="majorEastAsia" w:hAnsiTheme="majorEastAsia" w:eastAsiaTheme="majorEastAsia"/>
          <w:szCs w:val="21"/>
        </w:rPr>
        <w:t>三的投标人为第二替补中标候选人</w:t>
      </w:r>
      <w:r>
        <w:rPr>
          <w:rFonts w:asciiTheme="majorEastAsia" w:hAnsiTheme="majorEastAsia" w:eastAsiaTheme="majorEastAsia"/>
          <w:szCs w:val="21"/>
        </w:rPr>
        <w:t>）。</w:t>
      </w:r>
      <w:r>
        <w:rPr>
          <w:rFonts w:hint="eastAsia" w:asciiTheme="majorEastAsia" w:hAnsiTheme="majorEastAsia" w:eastAsiaTheme="majorEastAsia"/>
          <w:szCs w:val="21"/>
        </w:rPr>
        <w:t>出现</w:t>
      </w:r>
      <w:r>
        <w:rPr>
          <w:rFonts w:asciiTheme="majorEastAsia" w:hAnsiTheme="majorEastAsia" w:eastAsiaTheme="majorEastAsia"/>
          <w:szCs w:val="21"/>
        </w:rPr>
        <w:t>得分且投标报价相同的并列</w:t>
      </w:r>
      <w:r>
        <w:rPr>
          <w:rFonts w:hint="eastAsia" w:asciiTheme="majorEastAsia" w:hAnsiTheme="majorEastAsia" w:eastAsiaTheme="majorEastAsia"/>
          <w:szCs w:val="21"/>
        </w:rPr>
        <w:t>情况时，采取随机抽取的方式确定，具体操作办法及流程由评审委员会确定。</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38.2评定分离项目定标方法</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 xml:space="preserve">38.2.2 </w:t>
      </w:r>
      <w:bookmarkStart w:id="53" w:name="_Hlk71469733"/>
      <w:r>
        <w:rPr>
          <w:rFonts w:asciiTheme="majorEastAsia" w:hAnsiTheme="majorEastAsia" w:eastAsiaTheme="majorEastAsia"/>
          <w:szCs w:val="21"/>
        </w:rPr>
        <w:t>适用评定分离的政府采购项目，采用综合评分法评</w:t>
      </w:r>
      <w:r>
        <w:rPr>
          <w:rFonts w:hint="eastAsia" w:asciiTheme="majorEastAsia" w:hAnsiTheme="majorEastAsia" w:eastAsiaTheme="majorEastAsia"/>
          <w:szCs w:val="21"/>
        </w:rPr>
        <w:t>审。评审委员会按照评审结果，推荐</w:t>
      </w:r>
      <w:r>
        <w:rPr>
          <w:rFonts w:asciiTheme="majorEastAsia" w:hAnsiTheme="majorEastAsia" w:eastAsiaTheme="majorEastAsia"/>
          <w:szCs w:val="21"/>
        </w:rPr>
        <w:t>三个合格的候选中标供应商。</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38.2.3</w:t>
      </w:r>
      <w:bookmarkStart w:id="54" w:name="_Hlk71469688"/>
      <w:r>
        <w:rPr>
          <w:rFonts w:asciiTheme="majorEastAsia" w:hAnsiTheme="majorEastAsia" w:eastAsiaTheme="majorEastAsia"/>
          <w:szCs w:val="21"/>
        </w:rPr>
        <w:t>适用评定分离的政府采购项目，</w:t>
      </w:r>
      <w:r>
        <w:rPr>
          <w:rFonts w:hint="eastAsia" w:asciiTheme="majorEastAsia" w:hAnsiTheme="majorEastAsia" w:eastAsiaTheme="majorEastAsia"/>
          <w:szCs w:val="21"/>
        </w:rPr>
        <w:t>按照自定法确定中标供应商：自定法是指采购人组织定标委员会，由定标委员会在三家候选中标供应商中确定中标供应商。</w:t>
      </w:r>
      <w:bookmarkEnd w:id="53"/>
      <w:bookmarkEnd w:id="54"/>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38.2.4</w:t>
      </w:r>
      <w:r>
        <w:rPr>
          <w:rFonts w:hint="eastAsia" w:asciiTheme="majorEastAsia" w:hAnsiTheme="majorEastAsia" w:eastAsiaTheme="majorEastAsia"/>
          <w:szCs w:val="21"/>
        </w:rPr>
        <w:t>采购代理机构</w:t>
      </w:r>
      <w:r>
        <w:rPr>
          <w:rFonts w:asciiTheme="majorEastAsia" w:hAnsiTheme="majorEastAsia" w:eastAsiaTheme="majorEastAsia"/>
          <w:szCs w:val="21"/>
        </w:rPr>
        <w:t>应当自评审结束之日起两个工作日内将候选中标供应商名单及其投标文件、评审报告送交采购人</w:t>
      </w:r>
      <w:r>
        <w:rPr>
          <w:rFonts w:hint="eastAsia" w:asciiTheme="majorEastAsia" w:hAnsiTheme="majorEastAsia" w:eastAsiaTheme="majorEastAsia"/>
          <w:szCs w:val="21"/>
        </w:rPr>
        <w:t>。</w:t>
      </w:r>
      <w:r>
        <w:rPr>
          <w:rFonts w:asciiTheme="majorEastAsia" w:hAnsiTheme="majorEastAsia" w:eastAsiaTheme="majorEastAsia"/>
          <w:szCs w:val="21"/>
        </w:rPr>
        <w:t>采购人应当安排专人对定标过程进行书面记录，形成定标报告，作为采购文件的组成部分存档，并及时将定标结果反馈</w:t>
      </w:r>
      <w:r>
        <w:rPr>
          <w:rFonts w:hint="eastAsia" w:asciiTheme="majorEastAsia" w:hAnsiTheme="majorEastAsia" w:eastAsiaTheme="majorEastAsia"/>
          <w:szCs w:val="21"/>
        </w:rPr>
        <w:t>采购代理机构。具体定标程序及相关要求以按照《</w:t>
      </w:r>
      <w:r>
        <w:rPr>
          <w:rFonts w:asciiTheme="majorEastAsia" w:hAnsiTheme="majorEastAsia" w:eastAsiaTheme="majorEastAsia"/>
          <w:szCs w:val="21"/>
        </w:rPr>
        <w:t>深圳市财政局关于印发</w:t>
      </w:r>
      <w:r>
        <w:rPr>
          <w:rFonts w:hint="eastAsia" w:asciiTheme="majorEastAsia" w:hAnsiTheme="majorEastAsia" w:eastAsiaTheme="majorEastAsia"/>
          <w:szCs w:val="21"/>
        </w:rPr>
        <w:t>〈</w:t>
      </w:r>
      <w:r>
        <w:rPr>
          <w:rFonts w:asciiTheme="majorEastAsia" w:hAnsiTheme="majorEastAsia" w:eastAsiaTheme="majorEastAsia"/>
          <w:szCs w:val="21"/>
        </w:rPr>
        <w:t>深圳市政府采购评标定标分离管理办法</w:t>
      </w:r>
      <w:r>
        <w:rPr>
          <w:rFonts w:hint="eastAsia" w:asciiTheme="majorEastAsia" w:hAnsiTheme="majorEastAsia" w:eastAsiaTheme="majorEastAsia"/>
          <w:szCs w:val="21"/>
        </w:rPr>
        <w:t>〉</w:t>
      </w:r>
      <w:r>
        <w:rPr>
          <w:rFonts w:asciiTheme="majorEastAsia" w:hAnsiTheme="majorEastAsia" w:eastAsiaTheme="majorEastAsia"/>
          <w:szCs w:val="21"/>
        </w:rPr>
        <w:t>的通知</w:t>
      </w:r>
      <w:r>
        <w:rPr>
          <w:rFonts w:hint="eastAsia" w:asciiTheme="majorEastAsia" w:hAnsiTheme="majorEastAsia" w:eastAsiaTheme="majorEastAsia"/>
          <w:szCs w:val="21"/>
        </w:rPr>
        <w:t>》（深财规【2</w:t>
      </w:r>
      <w:r>
        <w:rPr>
          <w:rFonts w:asciiTheme="majorEastAsia" w:hAnsiTheme="majorEastAsia" w:eastAsiaTheme="majorEastAsia"/>
          <w:szCs w:val="21"/>
        </w:rPr>
        <w:t>020</w:t>
      </w:r>
      <w:r>
        <w:rPr>
          <w:rFonts w:hint="eastAsia" w:asciiTheme="majorEastAsia" w:hAnsiTheme="majorEastAsia" w:eastAsiaTheme="majorEastAsia"/>
          <w:szCs w:val="21"/>
        </w:rPr>
        <w:t>】1号）执行。</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说明：采购人及投标供应商应按照上述方法提前做好相关准备。</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38.3专用条款另有规定的，按专用条款相关要求定标。</w:t>
      </w:r>
      <w:bookmarkEnd w:id="51"/>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39．编写评审报告</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40．中标公告</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40.1</w:t>
      </w:r>
      <w:bookmarkStart w:id="55" w:name="_Hlk72438709"/>
      <w:r>
        <w:rPr>
          <w:rFonts w:hint="eastAsia" w:asciiTheme="majorEastAsia" w:hAnsiTheme="majorEastAsia" w:eastAsiaTheme="majorEastAsia"/>
          <w:szCs w:val="21"/>
        </w:rPr>
        <w:t>为体现“公开、公平、公正”的原则，评审结束后经采购人确认（确定）评审结果，采购代理机构将在“深圳政府采购智慧平台（http://zfcg.szggzy.com/）”上发布中标结果公告。</w:t>
      </w:r>
      <w:bookmarkEnd w:id="55"/>
      <w:bookmarkStart w:id="56" w:name="_Hlk72438751"/>
      <w:r>
        <w:rPr>
          <w:rFonts w:hint="eastAsia" w:asciiTheme="majorEastAsia" w:hAnsiTheme="majorEastAsia" w:eastAsiaTheme="majorEastAsia"/>
          <w:szCs w:val="21"/>
        </w:rPr>
        <w:t>供应商如对评审结果有异议，</w:t>
      </w:r>
      <w:r>
        <w:rPr>
          <w:rFonts w:asciiTheme="majorEastAsia" w:hAnsiTheme="majorEastAsia" w:eastAsiaTheme="majorEastAsia"/>
          <w:szCs w:val="21"/>
        </w:rPr>
        <w:t>可在发布公示日期起</w:t>
      </w:r>
      <w:r>
        <w:rPr>
          <w:rFonts w:hint="eastAsia" w:asciiTheme="majorEastAsia" w:hAnsiTheme="majorEastAsia" w:eastAsiaTheme="majorEastAsia"/>
          <w:szCs w:val="21"/>
        </w:rPr>
        <w:t>七</w:t>
      </w:r>
      <w:r>
        <w:rPr>
          <w:rFonts w:asciiTheme="majorEastAsia" w:hAnsiTheme="majorEastAsia" w:eastAsiaTheme="majorEastAsia"/>
          <w:szCs w:val="21"/>
        </w:rPr>
        <w:t>个工作日内向</w:t>
      </w:r>
      <w:r>
        <w:rPr>
          <w:rFonts w:hint="eastAsia" w:asciiTheme="majorEastAsia" w:hAnsiTheme="majorEastAsia" w:eastAsiaTheme="majorEastAsia"/>
          <w:szCs w:val="21"/>
        </w:rPr>
        <w:t>采购代理机构</w:t>
      </w:r>
      <w:r>
        <w:rPr>
          <w:rFonts w:asciiTheme="majorEastAsia" w:hAnsiTheme="majorEastAsia" w:eastAsiaTheme="majorEastAsia"/>
          <w:szCs w:val="21"/>
        </w:rPr>
        <w:t>提出。 监督电话：0755-83948143。</w:t>
      </w:r>
      <w:r>
        <w:rPr>
          <w:rFonts w:hint="eastAsia" w:asciiTheme="majorEastAsia" w:hAnsiTheme="majorEastAsia" w:eastAsiaTheme="majorEastAsia"/>
          <w:szCs w:val="21"/>
        </w:rPr>
        <w:t>若在公示期内未提出质疑，则视为认同该评审结果。</w:t>
      </w:r>
    </w:p>
    <w:bookmarkEnd w:id="56"/>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40.2质疑、投诉供应商应保证质疑、投诉内容的真实性和可靠性，并承担相应的法律责任。</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41．中标通知书</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w:t>
      </w:r>
      <w:r>
        <w:rPr>
          <w:rFonts w:asciiTheme="majorEastAsia" w:hAnsiTheme="majorEastAsia" w:eastAsiaTheme="majorEastAsia"/>
          <w:szCs w:val="21"/>
        </w:rPr>
        <w:t>.</w:t>
      </w:r>
      <w:r>
        <w:rPr>
          <w:rFonts w:hint="eastAsia" w:asciiTheme="majorEastAsia" w:hAnsiTheme="majorEastAsia" w:eastAsiaTheme="majorEastAsia"/>
          <w:szCs w:val="21"/>
        </w:rPr>
        <w:t>1</w:t>
      </w:r>
      <w:bookmarkStart w:id="57" w:name="_Hlk72438863"/>
      <w:r>
        <w:rPr>
          <w:rFonts w:hint="eastAsia" w:asciiTheme="majorEastAsia" w:hAnsiTheme="majorEastAsia" w:eastAsiaTheme="majorEastAsia"/>
          <w:szCs w:val="21"/>
        </w:rPr>
        <w:t>中标公告公布以后无异常的情况下,采购代理机构将向中标供应商和采购人发出中标通知书。</w:t>
      </w:r>
      <w:bookmarkEnd w:id="57"/>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w:t>
      </w:r>
      <w:r>
        <w:rPr>
          <w:rFonts w:asciiTheme="majorEastAsia" w:hAnsiTheme="majorEastAsia" w:eastAsiaTheme="majorEastAsia"/>
          <w:szCs w:val="21"/>
        </w:rPr>
        <w:t>.2</w:t>
      </w:r>
      <w:r>
        <w:rPr>
          <w:rFonts w:hint="eastAsia" w:asciiTheme="majorEastAsia" w:hAnsiTheme="majorEastAsia" w:eastAsiaTheme="majorEastAsia"/>
          <w:szCs w:val="21"/>
        </w:rPr>
        <w:t>中标通知书是合同的重要组成部分。</w:t>
      </w:r>
    </w:p>
    <w:p>
      <w:pPr>
        <w:spacing w:line="360" w:lineRule="auto"/>
        <w:ind w:firstLine="411" w:firstLineChars="196"/>
        <w:rPr>
          <w:rFonts w:asciiTheme="majorEastAsia" w:hAnsiTheme="majorEastAsia" w:eastAsiaTheme="majorEastAsia"/>
          <w:szCs w:val="21"/>
        </w:rPr>
      </w:pPr>
      <w:bookmarkStart w:id="58" w:name="_Hlk71407340"/>
      <w:r>
        <w:rPr>
          <w:rFonts w:hint="eastAsia" w:asciiTheme="majorEastAsia" w:hAnsiTheme="majorEastAsia" w:eastAsiaTheme="majorEastAsia"/>
          <w:szCs w:val="21"/>
        </w:rPr>
        <w:t>41.3因质疑投诉或其它原因导致项目结果变更或采购终止的，采购代理机构有权吊销中标通知书。</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41.4中标服务费</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中标人须在中标公告公示期结束后，向采购代理机构缴纳中标服务费。中标服务费收费标准根据《深圳市财政委员会关于规范深圳市社会采购代理机构的管理有关事项的补充通知（深财购[2018]27号）》文件相关规定，按照差额定率累进法计算。具体收费标准详见下表：</w:t>
      </w:r>
    </w:p>
    <w:tbl>
      <w:tblPr>
        <w:tblStyle w:val="43"/>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027"/>
        <w:gridCol w:w="2158"/>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2802" w:type="dxa"/>
          </w:tcPr>
          <w:p>
            <w:pPr>
              <w:spacing w:line="360" w:lineRule="auto"/>
              <w:ind w:firstLine="1629" w:firstLineChars="776"/>
              <w:rPr>
                <w:rFonts w:asciiTheme="majorEastAsia" w:hAnsiTheme="majorEastAsia" w:eastAsiaTheme="majorEastAsia"/>
                <w:b/>
                <w:szCs w:val="21"/>
              </w:rPr>
            </w:pPr>
            <w:r>
              <w:rPr>
                <w:rFonts w:asciiTheme="majorEastAsia" w:hAnsiTheme="majorEastAsia" w:eastAsiaTheme="majorEastAsia"/>
                <w:szCs w:val="21"/>
              </w:rPr>
              <mc:AlternateContent>
                <mc:Choice Requires="wps">
                  <w:drawing>
                    <wp:anchor distT="0" distB="0" distL="114300" distR="114300" simplePos="0" relativeHeight="251661312" behindDoc="0" locked="0" layoutInCell="0" allowOverlap="1">
                      <wp:simplePos x="0" y="0"/>
                      <wp:positionH relativeFrom="column">
                        <wp:posOffset>-19050</wp:posOffset>
                      </wp:positionH>
                      <wp:positionV relativeFrom="paragraph">
                        <wp:posOffset>436245</wp:posOffset>
                      </wp:positionV>
                      <wp:extent cx="1733550" cy="394335"/>
                      <wp:effectExtent l="1270" t="4445" r="17780" b="20320"/>
                      <wp:wrapNone/>
                      <wp:docPr id="7" name="直接连接符 7"/>
                      <wp:cNvGraphicFramePr/>
                      <a:graphic xmlns:a="http://schemas.openxmlformats.org/drawingml/2006/main">
                        <a:graphicData uri="http://schemas.microsoft.com/office/word/2010/wordprocessingShape">
                          <wps:wsp>
                            <wps:cNvCnPr/>
                            <wps:spPr>
                              <a:xfrm flipH="1" flipV="1">
                                <a:off x="0" y="0"/>
                                <a:ext cx="1771650" cy="54102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1.5pt;margin-top:34.35pt;height:31.05pt;width:136.5pt;z-index:251661312;mso-width-relative:page;mso-height-relative:page;" filled="f" stroked="t" coordsize="21600,21600" o:allowincell="f" o:gfxdata="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lQLG1AAAAAkBAAAPAAAAAAAAAAEAIAAAACIAAABkcnMvZG93&#10;bnJldi54bWxQSwECFAAUAAAACACHTuJA5DiR7gQCAAD/AwAADgAAAAAAAAABACAAAAAjAQAAZHJz&#10;L2Uyb0RvYy54bWxQSwUGAAAAAAYABgBZAQAAmQUAAAAA&#10;">
                      <v:fill on="f" focussize="0,0"/>
                      <v:stroke color="#000000" joinstyle="round"/>
                      <v:imagedata o:title=""/>
                      <o:lock v:ext="edit" aspectratio="f"/>
                    </v:line>
                  </w:pict>
                </mc:Fallback>
              </mc:AlternateContent>
            </w:r>
            <w:r>
              <w:rPr>
                <w:rFonts w:asciiTheme="majorEastAsia" w:hAnsiTheme="majorEastAsia" w:eastAsiaTheme="majorEastAsia"/>
                <w:szCs w:val="21"/>
              </w:rPr>
              <mc:AlternateContent>
                <mc:Choice Requires="wps">
                  <w:drawing>
                    <wp:anchor distT="0" distB="0" distL="114300" distR="114300" simplePos="0" relativeHeight="251660288" behindDoc="0" locked="0" layoutInCell="0" allowOverlap="1">
                      <wp:simplePos x="0" y="0"/>
                      <wp:positionH relativeFrom="column">
                        <wp:posOffset>392430</wp:posOffset>
                      </wp:positionH>
                      <wp:positionV relativeFrom="paragraph">
                        <wp:posOffset>31750</wp:posOffset>
                      </wp:positionV>
                      <wp:extent cx="1322070" cy="798830"/>
                      <wp:effectExtent l="2540" t="3810" r="8890" b="16510"/>
                      <wp:wrapNone/>
                      <wp:docPr id="6" name="直接连接符 6"/>
                      <wp:cNvGraphicFramePr/>
                      <a:graphic xmlns:a="http://schemas.openxmlformats.org/drawingml/2006/main">
                        <a:graphicData uri="http://schemas.microsoft.com/office/word/2010/wordprocessingShape">
                          <wps:wsp>
                            <wps:cNvCnPr/>
                            <wps:spPr>
                              <a:xfrm flipH="1" flipV="1">
                                <a:off x="0" y="0"/>
                                <a:ext cx="1215390" cy="8515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30.9pt;margin-top:2.5pt;height:62.9pt;width:104.1pt;z-index:251660288;mso-width-relative:page;mso-height-relative:page;" filled="f" stroked="t" coordsize="21600,21600" o:allowincell="f" o:gfxdata="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tdP1dMAAAAIAQAADwAAAAAAAAABACAAAAAiAAAAZHJzL2Rvd25yZXYu&#10;eG1sUEsBAhQAFAAAAAgAh07iQPjl/UYAAgAA/wMAAA4AAAAAAAAAAQAgAAAAIgEAAGRycy9lMm9E&#10;b2MueG1sUEsFBgAAAAAGAAYAWQEAAJQFAAAAAA==&#10;">
                      <v:fill on="f" focussize="0,0"/>
                      <v:stroke color="#000000" joinstyle="round"/>
                      <v:imagedata o:title=""/>
                      <o:lock v:ext="edit" aspectratio="f"/>
                    </v:line>
                  </w:pict>
                </mc:Fallback>
              </mc:AlternateContent>
            </w:r>
            <w:r>
              <w:rPr>
                <w:rFonts w:asciiTheme="majorEastAsia" w:hAnsiTheme="majorEastAsia" w:eastAsiaTheme="majorEastAsia"/>
                <w:szCs w:val="21"/>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uR037V&#10;AAAACQEAAA8AAAAAAAAAAQAgAAAAIgAAAGRycy9kb3ducmV2LnhtbFBLAQIUABQAAAAIAIdO4kCU&#10;Y33D6gEAAOADAAAOAAAAAAAAAAEAIAAAACQBAABkcnMvZTJvRG9jLnhtbFBLBQYAAAAABgAGAFkB&#10;AACABQAAAAA=&#10;">
                      <v:fill on="f" focussize="0,0"/>
                      <v:stroke color="#000000" joinstyle="round"/>
                      <v:imagedata o:title=""/>
                      <o:lock v:ext="edit" aspectratio="f"/>
                    </v:line>
                  </w:pict>
                </mc:Fallback>
              </mc:AlternateContent>
            </w:r>
            <w:r>
              <w:rPr>
                <w:rFonts w:hint="eastAsia" w:asciiTheme="majorEastAsia" w:hAnsiTheme="majorEastAsia" w:eastAsiaTheme="majorEastAsia"/>
                <w:b/>
                <w:szCs w:val="21"/>
              </w:rPr>
              <w:t>服务类型</w:t>
            </w:r>
          </w:p>
          <w:p>
            <w:pPr>
              <w:spacing w:line="360" w:lineRule="auto"/>
              <w:ind w:firstLine="637" w:firstLineChars="302"/>
              <w:rPr>
                <w:rFonts w:asciiTheme="majorEastAsia" w:hAnsiTheme="majorEastAsia" w:eastAsiaTheme="majorEastAsia"/>
                <w:b/>
                <w:szCs w:val="21"/>
              </w:rPr>
            </w:pPr>
            <w:r>
              <w:rPr>
                <w:rFonts w:hint="eastAsia" w:asciiTheme="majorEastAsia" w:hAnsiTheme="majorEastAsia" w:eastAsiaTheme="majorEastAsia"/>
                <w:b/>
                <w:szCs w:val="21"/>
              </w:rPr>
              <w:t>费率　　　　　</w:t>
            </w:r>
          </w:p>
          <w:p>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中标金额（万元）</w:t>
            </w:r>
          </w:p>
        </w:tc>
        <w:tc>
          <w:tcPr>
            <w:tcW w:w="2027" w:type="dxa"/>
            <w:vAlign w:val="center"/>
          </w:tcPr>
          <w:p>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货物招标</w:t>
            </w:r>
          </w:p>
        </w:tc>
        <w:tc>
          <w:tcPr>
            <w:tcW w:w="2158" w:type="dxa"/>
            <w:vAlign w:val="center"/>
          </w:tcPr>
          <w:p>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服务招标</w:t>
            </w:r>
          </w:p>
        </w:tc>
        <w:tc>
          <w:tcPr>
            <w:tcW w:w="2158" w:type="dxa"/>
            <w:vAlign w:val="center"/>
          </w:tcPr>
          <w:p>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以下</w:t>
            </w:r>
          </w:p>
        </w:tc>
        <w:tc>
          <w:tcPr>
            <w:tcW w:w="2027"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1.500%</w:t>
            </w:r>
          </w:p>
        </w:tc>
        <w:tc>
          <w:tcPr>
            <w:tcW w:w="2158"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1.500%</w:t>
            </w:r>
          </w:p>
        </w:tc>
        <w:tc>
          <w:tcPr>
            <w:tcW w:w="2158" w:type="dxa"/>
            <w:vAlign w:val="center"/>
          </w:tcPr>
          <w:p>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w:t>
            </w:r>
            <w:r>
              <w:rPr>
                <w:rFonts w:asciiTheme="majorEastAsia" w:hAnsiTheme="majorEastAsia" w:eastAsiaTheme="majorEastAsia"/>
                <w:szCs w:val="21"/>
              </w:rPr>
              <w:t>500</w:t>
            </w:r>
          </w:p>
        </w:tc>
        <w:tc>
          <w:tcPr>
            <w:tcW w:w="2027"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1.100%</w:t>
            </w:r>
          </w:p>
        </w:tc>
        <w:tc>
          <w:tcPr>
            <w:tcW w:w="2158"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0.800%</w:t>
            </w:r>
          </w:p>
        </w:tc>
        <w:tc>
          <w:tcPr>
            <w:tcW w:w="2158" w:type="dxa"/>
            <w:vAlign w:val="center"/>
          </w:tcPr>
          <w:p>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500</w:t>
            </w:r>
            <w:r>
              <w:rPr>
                <w:rFonts w:hint="eastAsia" w:asciiTheme="majorEastAsia" w:hAnsiTheme="majorEastAsia" w:eastAsiaTheme="majorEastAsia"/>
                <w:szCs w:val="21"/>
              </w:rPr>
              <w:t>～</w:t>
            </w:r>
            <w:r>
              <w:rPr>
                <w:rFonts w:asciiTheme="majorEastAsia" w:hAnsiTheme="majorEastAsia" w:eastAsiaTheme="majorEastAsia"/>
                <w:szCs w:val="21"/>
              </w:rPr>
              <w:t>1</w:t>
            </w:r>
            <w:r>
              <w:rPr>
                <w:rFonts w:hint="eastAsia" w:asciiTheme="majorEastAsia" w:hAnsiTheme="majorEastAsia" w:eastAsiaTheme="majorEastAsia"/>
                <w:szCs w:val="21"/>
              </w:rPr>
              <w:t>000</w:t>
            </w:r>
          </w:p>
        </w:tc>
        <w:tc>
          <w:tcPr>
            <w:tcW w:w="2027"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0.800%</w:t>
            </w:r>
          </w:p>
        </w:tc>
        <w:tc>
          <w:tcPr>
            <w:tcW w:w="2158"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0.450%</w:t>
            </w:r>
          </w:p>
        </w:tc>
        <w:tc>
          <w:tcPr>
            <w:tcW w:w="2158" w:type="dxa"/>
            <w:vAlign w:val="center"/>
          </w:tcPr>
          <w:p>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000～</w:t>
            </w:r>
            <w:r>
              <w:rPr>
                <w:rFonts w:asciiTheme="majorEastAsia" w:hAnsiTheme="majorEastAsia" w:eastAsiaTheme="majorEastAsia"/>
                <w:szCs w:val="21"/>
              </w:rPr>
              <w:t>5</w:t>
            </w:r>
            <w:r>
              <w:rPr>
                <w:rFonts w:hint="eastAsia" w:asciiTheme="majorEastAsia" w:hAnsiTheme="majorEastAsia" w:eastAsiaTheme="majorEastAsia"/>
                <w:szCs w:val="21"/>
              </w:rPr>
              <w:t>000</w:t>
            </w:r>
          </w:p>
        </w:tc>
        <w:tc>
          <w:tcPr>
            <w:tcW w:w="2027"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0.500%</w:t>
            </w:r>
          </w:p>
        </w:tc>
        <w:tc>
          <w:tcPr>
            <w:tcW w:w="2158"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0.250%</w:t>
            </w:r>
          </w:p>
        </w:tc>
        <w:tc>
          <w:tcPr>
            <w:tcW w:w="2158" w:type="dxa"/>
            <w:vAlign w:val="center"/>
          </w:tcPr>
          <w:p>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w:t>
            </w:r>
            <w:r>
              <w:rPr>
                <w:rFonts w:hint="eastAsia" w:asciiTheme="majorEastAsia" w:hAnsiTheme="majorEastAsia" w:eastAsiaTheme="majorEastAsia"/>
                <w:szCs w:val="21"/>
              </w:rPr>
              <w:t>000～</w:t>
            </w:r>
            <w:r>
              <w:rPr>
                <w:rFonts w:asciiTheme="majorEastAsia" w:hAnsiTheme="majorEastAsia" w:eastAsiaTheme="majorEastAsia"/>
                <w:szCs w:val="21"/>
              </w:rPr>
              <w:t>1</w:t>
            </w:r>
            <w:r>
              <w:rPr>
                <w:rFonts w:hint="eastAsia" w:asciiTheme="majorEastAsia" w:hAnsiTheme="majorEastAsia" w:eastAsiaTheme="majorEastAsia"/>
                <w:szCs w:val="21"/>
              </w:rPr>
              <w:t>0000</w:t>
            </w:r>
          </w:p>
        </w:tc>
        <w:tc>
          <w:tcPr>
            <w:tcW w:w="2027"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0.250%</w:t>
            </w:r>
          </w:p>
        </w:tc>
        <w:tc>
          <w:tcPr>
            <w:tcW w:w="2158"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0.100%</w:t>
            </w:r>
          </w:p>
        </w:tc>
        <w:tc>
          <w:tcPr>
            <w:tcW w:w="2158" w:type="dxa"/>
            <w:vAlign w:val="center"/>
          </w:tcPr>
          <w:p>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802"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0000～</w:t>
            </w:r>
            <w:r>
              <w:rPr>
                <w:rFonts w:asciiTheme="majorEastAsia" w:hAnsiTheme="majorEastAsia" w:eastAsiaTheme="majorEastAsia"/>
                <w:szCs w:val="21"/>
              </w:rPr>
              <w:t>5</w:t>
            </w:r>
            <w:r>
              <w:rPr>
                <w:rFonts w:hint="eastAsia" w:asciiTheme="majorEastAsia" w:hAnsiTheme="majorEastAsia" w:eastAsiaTheme="majorEastAsia"/>
                <w:szCs w:val="21"/>
              </w:rPr>
              <w:t>0000</w:t>
            </w:r>
          </w:p>
        </w:tc>
        <w:tc>
          <w:tcPr>
            <w:tcW w:w="2027"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0.050%</w:t>
            </w:r>
          </w:p>
        </w:tc>
        <w:tc>
          <w:tcPr>
            <w:tcW w:w="2158"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0.050%</w:t>
            </w:r>
          </w:p>
        </w:tc>
        <w:tc>
          <w:tcPr>
            <w:tcW w:w="2158" w:type="dxa"/>
            <w:vAlign w:val="center"/>
          </w:tcPr>
          <w:p>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w:t>
            </w:r>
            <w:r>
              <w:rPr>
                <w:rFonts w:hint="eastAsia" w:asciiTheme="majorEastAsia" w:hAnsiTheme="majorEastAsia" w:eastAsiaTheme="majorEastAsia"/>
                <w:szCs w:val="21"/>
              </w:rPr>
              <w:t>0000～</w:t>
            </w:r>
            <w:r>
              <w:rPr>
                <w:rFonts w:asciiTheme="majorEastAsia" w:hAnsiTheme="majorEastAsia" w:eastAsiaTheme="majorEastAsia"/>
                <w:szCs w:val="21"/>
              </w:rPr>
              <w:t>10</w:t>
            </w:r>
            <w:r>
              <w:rPr>
                <w:rFonts w:hint="eastAsia" w:asciiTheme="majorEastAsia" w:hAnsiTheme="majorEastAsia" w:eastAsiaTheme="majorEastAsia"/>
                <w:szCs w:val="21"/>
              </w:rPr>
              <w:t>0000</w:t>
            </w:r>
          </w:p>
        </w:tc>
        <w:tc>
          <w:tcPr>
            <w:tcW w:w="2027"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0.035%</w:t>
            </w:r>
          </w:p>
        </w:tc>
        <w:tc>
          <w:tcPr>
            <w:tcW w:w="2158"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0.035%</w:t>
            </w:r>
          </w:p>
        </w:tc>
        <w:tc>
          <w:tcPr>
            <w:tcW w:w="2158" w:type="dxa"/>
            <w:vAlign w:val="center"/>
          </w:tcPr>
          <w:p>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w:t>
            </w:r>
            <w:r>
              <w:rPr>
                <w:rFonts w:hint="eastAsia" w:asciiTheme="majorEastAsia" w:hAnsiTheme="majorEastAsia" w:eastAsiaTheme="majorEastAsia"/>
                <w:szCs w:val="21"/>
              </w:rPr>
              <w:t>0000～</w:t>
            </w:r>
            <w:r>
              <w:rPr>
                <w:rFonts w:asciiTheme="majorEastAsia" w:hAnsiTheme="majorEastAsia" w:eastAsiaTheme="majorEastAsia"/>
                <w:szCs w:val="21"/>
              </w:rPr>
              <w:t>50</w:t>
            </w:r>
            <w:r>
              <w:rPr>
                <w:rFonts w:hint="eastAsia" w:asciiTheme="majorEastAsia" w:hAnsiTheme="majorEastAsia" w:eastAsiaTheme="majorEastAsia"/>
                <w:szCs w:val="21"/>
              </w:rPr>
              <w:t>0000</w:t>
            </w:r>
          </w:p>
        </w:tc>
        <w:tc>
          <w:tcPr>
            <w:tcW w:w="2027"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0.008%</w:t>
            </w:r>
          </w:p>
        </w:tc>
        <w:tc>
          <w:tcPr>
            <w:tcW w:w="2158"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0.008%</w:t>
            </w:r>
          </w:p>
        </w:tc>
        <w:tc>
          <w:tcPr>
            <w:tcW w:w="2158" w:type="dxa"/>
            <w:vAlign w:val="center"/>
          </w:tcPr>
          <w:p>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50</w:t>
            </w:r>
            <w:r>
              <w:rPr>
                <w:rFonts w:hint="eastAsia" w:asciiTheme="majorEastAsia" w:hAnsiTheme="majorEastAsia" w:eastAsiaTheme="majorEastAsia"/>
                <w:szCs w:val="21"/>
              </w:rPr>
              <w:t>0000～</w:t>
            </w:r>
            <w:r>
              <w:rPr>
                <w:rFonts w:asciiTheme="majorEastAsia" w:hAnsiTheme="majorEastAsia" w:eastAsiaTheme="majorEastAsia"/>
                <w:szCs w:val="21"/>
              </w:rPr>
              <w:t>100</w:t>
            </w:r>
            <w:r>
              <w:rPr>
                <w:rFonts w:hint="eastAsia" w:asciiTheme="majorEastAsia" w:hAnsiTheme="majorEastAsia" w:eastAsiaTheme="majorEastAsia"/>
                <w:szCs w:val="21"/>
              </w:rPr>
              <w:t>0000</w:t>
            </w:r>
          </w:p>
        </w:tc>
        <w:tc>
          <w:tcPr>
            <w:tcW w:w="2027"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0.006%</w:t>
            </w:r>
          </w:p>
        </w:tc>
        <w:tc>
          <w:tcPr>
            <w:tcW w:w="2158"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0.006%</w:t>
            </w:r>
          </w:p>
        </w:tc>
        <w:tc>
          <w:tcPr>
            <w:tcW w:w="2158" w:type="dxa"/>
            <w:vAlign w:val="center"/>
          </w:tcPr>
          <w:p>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02"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0000以上</w:t>
            </w:r>
          </w:p>
        </w:tc>
        <w:tc>
          <w:tcPr>
            <w:tcW w:w="2027"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0.004%</w:t>
            </w:r>
          </w:p>
        </w:tc>
        <w:tc>
          <w:tcPr>
            <w:tcW w:w="2158" w:type="dxa"/>
            <w:vAlign w:val="center"/>
          </w:tcPr>
          <w:p>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0.004%</w:t>
            </w:r>
          </w:p>
        </w:tc>
        <w:tc>
          <w:tcPr>
            <w:tcW w:w="2158" w:type="dxa"/>
            <w:vAlign w:val="center"/>
          </w:tcPr>
          <w:p>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0.004%</w:t>
            </w:r>
          </w:p>
        </w:tc>
      </w:tr>
    </w:tbl>
    <w:p>
      <w:pPr>
        <w:spacing w:line="360" w:lineRule="auto"/>
        <w:ind w:firstLine="411" w:firstLineChars="196"/>
        <w:rPr>
          <w:rFonts w:asciiTheme="majorEastAsia" w:hAnsiTheme="majorEastAsia" w:eastAsiaTheme="majorEastAsia"/>
          <w:szCs w:val="21"/>
        </w:rPr>
      </w:pPr>
    </w:p>
    <w:bookmarkEnd w:id="58"/>
    <w:p>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公开招标失败的后续处理</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42．公开招标失败的处理</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42.1本项目公开招标过程中若由于投标截止后实际递交</w:t>
      </w:r>
      <w:r>
        <w:rPr>
          <w:rFonts w:asciiTheme="majorEastAsia" w:hAnsiTheme="majorEastAsia" w:eastAsiaTheme="majorEastAsia"/>
          <w:szCs w:val="21"/>
        </w:rPr>
        <w:t>投标</w:t>
      </w:r>
      <w:r>
        <w:rPr>
          <w:rFonts w:hint="eastAsia" w:asciiTheme="majorEastAsia" w:hAnsiTheme="majorEastAsia" w:eastAsiaTheme="majorEastAsia"/>
          <w:szCs w:val="21"/>
        </w:rPr>
        <w:t>文件的供应商数量不足、经评审委员会评审对招标文件作实质响应的供应商不足等原因造成公开招标失败，可由</w:t>
      </w:r>
      <w:r>
        <w:rPr>
          <w:rFonts w:hint="eastAsia" w:cs="宋体" w:asciiTheme="majorEastAsia" w:hAnsiTheme="majorEastAsia" w:eastAsiaTheme="majorEastAsia"/>
          <w:szCs w:val="21"/>
        </w:rPr>
        <w:t>采购代理机构</w:t>
      </w:r>
      <w:r>
        <w:rPr>
          <w:rFonts w:hint="eastAsia" w:asciiTheme="majorEastAsia" w:hAnsiTheme="majorEastAsia" w:eastAsiaTheme="majorEastAsia"/>
          <w:szCs w:val="21"/>
        </w:rPr>
        <w:t>重新组织采购。</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42.2对公开招标失败的项目，评审委员会在出具该项目招标失败结论的同时，可以提出重新采购组织形式的建议，以及进一步完善招标文件的资格、技术、商务要求的修改建议。</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42.3重新组织采购有以下两种组织形式：</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（1）由采购代理机构重新组织公开招标；</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（2）根据实际情况需要向同级财政部门提出非公开招标方式申请的，经同级财政部门批准，公开招标失败采购项目可转为竞争性谈判或单一来源谈判方式采购。</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42.4公开招标失败的采购项目重新组织公开招标，由采购代理机构重新按公开招标流程组织采购活动。</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42.5公开招标失败的采购项目经同级财政部门批准转为竞争性谈判或单一来源谈判方式采购的，按规定要求组织政府采购工作。</w:t>
      </w:r>
    </w:p>
    <w:p>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bookmarkStart w:id="59" w:name="_Hlk72439043"/>
      <w:r>
        <w:rPr>
          <w:rFonts w:hint="eastAsia" w:asciiTheme="majorEastAsia" w:hAnsiTheme="majorEastAsia" w:eastAsiaTheme="majorEastAsia"/>
          <w:b/>
          <w:bCs/>
          <w:kern w:val="0"/>
          <w:sz w:val="28"/>
          <w:szCs w:val="28"/>
        </w:rPr>
        <w:t>合同的授予与备案</w:t>
      </w:r>
      <w:bookmarkEnd w:id="59"/>
    </w:p>
    <w:p>
      <w:pPr>
        <w:spacing w:line="360" w:lineRule="auto"/>
        <w:rPr>
          <w:rFonts w:asciiTheme="majorEastAsia" w:hAnsiTheme="majorEastAsia" w:eastAsiaTheme="majorEastAsia"/>
          <w:b/>
          <w:bCs/>
          <w:szCs w:val="21"/>
        </w:rPr>
      </w:pPr>
      <w:bookmarkStart w:id="60" w:name="_Toc73521674"/>
      <w:bookmarkStart w:id="61" w:name="_Toc100052408"/>
      <w:bookmarkStart w:id="62" w:name="_Toc73518157"/>
      <w:bookmarkStart w:id="63" w:name="_Toc73521586"/>
      <w:bookmarkStart w:id="64" w:name="_Toc73517679"/>
      <w:bookmarkStart w:id="65" w:name="_Hlk72439088"/>
      <w:r>
        <w:rPr>
          <w:rFonts w:hint="eastAsia" w:asciiTheme="majorEastAsia" w:hAnsiTheme="majorEastAsia" w:eastAsiaTheme="majorEastAsia"/>
          <w:b/>
          <w:bCs/>
          <w:szCs w:val="21"/>
        </w:rPr>
        <w:t>43．合同授予标准</w:t>
      </w:r>
      <w:bookmarkEnd w:id="60"/>
      <w:bookmarkEnd w:id="61"/>
      <w:bookmarkEnd w:id="62"/>
      <w:bookmarkEnd w:id="63"/>
      <w:bookmarkEnd w:id="64"/>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本项目的合同将授予经本招标文件规定评审确定的中标供应商。</w:t>
      </w:r>
    </w:p>
    <w:p>
      <w:pPr>
        <w:spacing w:line="360" w:lineRule="auto"/>
        <w:rPr>
          <w:rFonts w:asciiTheme="majorEastAsia" w:hAnsiTheme="majorEastAsia" w:eastAsiaTheme="majorEastAsia"/>
          <w:b/>
          <w:bCs/>
          <w:szCs w:val="21"/>
        </w:rPr>
      </w:pPr>
      <w:bookmarkStart w:id="66" w:name="_Toc73521675"/>
      <w:bookmarkStart w:id="67" w:name="_Toc73518158"/>
      <w:bookmarkStart w:id="68" w:name="_Toc100052409"/>
      <w:bookmarkStart w:id="69" w:name="_Toc73521587"/>
      <w:bookmarkStart w:id="70" w:name="_Toc73517680"/>
      <w:r>
        <w:rPr>
          <w:rFonts w:hint="eastAsia" w:asciiTheme="majorEastAsia" w:hAnsiTheme="majorEastAsia" w:eastAsiaTheme="majorEastAsia"/>
          <w:b/>
          <w:bCs/>
          <w:szCs w:val="21"/>
        </w:rPr>
        <w:t>44．</w:t>
      </w:r>
      <w:bookmarkEnd w:id="66"/>
      <w:bookmarkEnd w:id="67"/>
      <w:bookmarkEnd w:id="68"/>
      <w:bookmarkEnd w:id="69"/>
      <w:bookmarkEnd w:id="70"/>
      <w:r>
        <w:rPr>
          <w:rFonts w:hint="eastAsia" w:asciiTheme="majorEastAsia" w:hAnsiTheme="majorEastAsia" w:eastAsiaTheme="majorEastAsia"/>
          <w:b/>
          <w:bCs/>
          <w:szCs w:val="21"/>
        </w:rPr>
        <w:t>接受和拒绝任何或所有投标的权力</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采购代理机构和采购人保留在投标之前任何时候接受或拒绝任何投标或所有投标，以及宣布招标无效的权力，对受影响的投标人不承担任何责任，也无义务向受影响的投标人解释采取这一行动的理由。</w:t>
      </w:r>
    </w:p>
    <w:p>
      <w:pPr>
        <w:spacing w:line="360" w:lineRule="auto"/>
        <w:rPr>
          <w:rFonts w:asciiTheme="majorEastAsia" w:hAnsiTheme="majorEastAsia" w:eastAsiaTheme="majorEastAsia"/>
          <w:b/>
          <w:bCs/>
          <w:szCs w:val="21"/>
        </w:rPr>
      </w:pPr>
      <w:bookmarkStart w:id="71" w:name="_Toc73521677"/>
      <w:bookmarkStart w:id="72" w:name="_Toc73518160"/>
      <w:bookmarkStart w:id="73" w:name="_Toc73517682"/>
      <w:bookmarkStart w:id="74" w:name="_Toc73521589"/>
      <w:bookmarkStart w:id="75" w:name="_Toc100052410"/>
      <w:r>
        <w:rPr>
          <w:rFonts w:hint="eastAsia" w:asciiTheme="majorEastAsia" w:hAnsiTheme="majorEastAsia" w:eastAsiaTheme="majorEastAsia"/>
          <w:b/>
          <w:bCs/>
          <w:szCs w:val="21"/>
        </w:rPr>
        <w:t>45．合同的签订</w:t>
      </w:r>
      <w:bookmarkEnd w:id="71"/>
      <w:bookmarkEnd w:id="72"/>
      <w:bookmarkEnd w:id="73"/>
      <w:bookmarkEnd w:id="74"/>
      <w:bookmarkEnd w:id="75"/>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45.1中标人将于中标通知书发出之日起十个工作日内，按照采购文件（招标文件和投标文件等）内容与采购人签订政府采购合同；合同的实质性内容应当符合招标文件的规定；</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45.2中标人如不按本通用条款第45</w:t>
      </w:r>
      <w:r>
        <w:rPr>
          <w:rFonts w:asciiTheme="majorEastAsia" w:hAnsiTheme="majorEastAsia" w:eastAsiaTheme="majorEastAsia"/>
          <w:szCs w:val="21"/>
        </w:rPr>
        <w:t>.1</w:t>
      </w:r>
      <w:r>
        <w:rPr>
          <w:rFonts w:hint="eastAsia" w:asciiTheme="majorEastAsia" w:hAnsiTheme="majorEastAsia" w:eastAsiaTheme="majorEastAsia"/>
          <w:szCs w:val="21"/>
        </w:rPr>
        <w:t>款的规定与采购人签订合同，</w:t>
      </w:r>
      <w:r>
        <w:rPr>
          <w:rFonts w:cs="宋体" w:asciiTheme="majorEastAsia" w:hAnsiTheme="majorEastAsia" w:eastAsiaTheme="majorEastAsia"/>
          <w:szCs w:val="21"/>
        </w:rPr>
        <w:t>情节严重的，由</w:t>
      </w:r>
      <w:r>
        <w:rPr>
          <w:rFonts w:hint="eastAsia" w:cs="宋体" w:asciiTheme="majorEastAsia" w:hAnsiTheme="majorEastAsia" w:eastAsiaTheme="majorEastAsia"/>
          <w:szCs w:val="21"/>
        </w:rPr>
        <w:t>同级财政</w:t>
      </w:r>
      <w:r>
        <w:rPr>
          <w:rFonts w:cs="宋体" w:asciiTheme="majorEastAsia" w:hAnsiTheme="majorEastAsia" w:eastAsiaTheme="majorEastAsia"/>
          <w:szCs w:val="21"/>
        </w:rPr>
        <w:t>部门记入供应商诚信档案，予以通报</w:t>
      </w:r>
      <w:r>
        <w:rPr>
          <w:rFonts w:hint="eastAsia" w:asciiTheme="majorEastAsia" w:hAnsiTheme="majorEastAsia" w:eastAsiaTheme="majorEastAsia"/>
          <w:szCs w:val="21"/>
        </w:rPr>
        <w:t>；</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45.3中标人应当按照合同约定履行义务，完成中标项目，不得将中标项目转让（转包）给他人。</w:t>
      </w:r>
    </w:p>
    <w:p>
      <w:pPr>
        <w:spacing w:line="360" w:lineRule="auto"/>
        <w:rPr>
          <w:rFonts w:asciiTheme="majorEastAsia" w:hAnsiTheme="majorEastAsia" w:eastAsiaTheme="majorEastAsia"/>
          <w:b/>
          <w:bCs/>
          <w:szCs w:val="21"/>
        </w:rPr>
      </w:pPr>
      <w:bookmarkStart w:id="76" w:name="_Toc100052411"/>
      <w:bookmarkStart w:id="77" w:name="_Toc73518161"/>
      <w:bookmarkStart w:id="78" w:name="_Toc73521590"/>
      <w:bookmarkStart w:id="79" w:name="_Toc73521678"/>
      <w:bookmarkStart w:id="80" w:name="_Toc73517683"/>
      <w:r>
        <w:rPr>
          <w:rFonts w:hint="eastAsia" w:asciiTheme="majorEastAsia" w:hAnsiTheme="majorEastAsia" w:eastAsiaTheme="majorEastAsia"/>
          <w:b/>
          <w:bCs/>
          <w:szCs w:val="21"/>
        </w:rPr>
        <w:t>46．履约担保</w:t>
      </w:r>
      <w:bookmarkEnd w:id="76"/>
      <w:bookmarkEnd w:id="77"/>
      <w:bookmarkEnd w:id="78"/>
      <w:bookmarkEnd w:id="79"/>
      <w:bookmarkEnd w:id="80"/>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46.1在签订项目合同的同时，中标人应按“对通用条款的补充内容”中规定的金额向采购人提交履约担保；</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46.2，允许供应商自主选择以支票、汇票、本票、保函等非现金方式提交履约担保；</w:t>
      </w:r>
      <w:r>
        <w:rPr>
          <w:rFonts w:asciiTheme="majorEastAsia" w:hAnsiTheme="majorEastAsia" w:eastAsiaTheme="majorEastAsia"/>
          <w:szCs w:val="21"/>
        </w:rPr>
        <w:t>中标</w:t>
      </w:r>
      <w:r>
        <w:rPr>
          <w:rFonts w:hint="eastAsia" w:asciiTheme="majorEastAsia" w:hAnsiTheme="majorEastAsia" w:eastAsiaTheme="majorEastAsia"/>
          <w:szCs w:val="21"/>
        </w:rPr>
        <w:t>人</w:t>
      </w:r>
      <w:r>
        <w:rPr>
          <w:rFonts w:asciiTheme="majorEastAsia" w:hAnsiTheme="majorEastAsia" w:eastAsiaTheme="majorEastAsia"/>
          <w:szCs w:val="21"/>
        </w:rPr>
        <w:t>提交履约</w:t>
      </w:r>
      <w:r>
        <w:rPr>
          <w:rFonts w:hint="eastAsia" w:asciiTheme="majorEastAsia" w:hAnsiTheme="majorEastAsia" w:eastAsiaTheme="majorEastAsia"/>
          <w:szCs w:val="21"/>
        </w:rPr>
        <w:t>担保不是</w:t>
      </w:r>
      <w:r>
        <w:rPr>
          <w:rFonts w:asciiTheme="majorEastAsia" w:hAnsiTheme="majorEastAsia" w:eastAsiaTheme="majorEastAsia"/>
          <w:szCs w:val="21"/>
        </w:rPr>
        <w:t>合同签订的</w:t>
      </w:r>
      <w:r>
        <w:rPr>
          <w:rFonts w:hint="eastAsia" w:asciiTheme="majorEastAsia" w:hAnsiTheme="majorEastAsia" w:eastAsiaTheme="majorEastAsia"/>
          <w:szCs w:val="21"/>
        </w:rPr>
        <w:t>前提</w:t>
      </w:r>
      <w:r>
        <w:rPr>
          <w:rFonts w:asciiTheme="majorEastAsia" w:hAnsiTheme="majorEastAsia" w:eastAsiaTheme="majorEastAsia"/>
          <w:szCs w:val="21"/>
        </w:rPr>
        <w:t>条件，不要求中标</w:t>
      </w:r>
      <w:r>
        <w:rPr>
          <w:rFonts w:hint="eastAsia" w:asciiTheme="majorEastAsia" w:hAnsiTheme="majorEastAsia" w:eastAsiaTheme="majorEastAsia"/>
          <w:szCs w:val="21"/>
        </w:rPr>
        <w:t>人</w:t>
      </w:r>
      <w:r>
        <w:rPr>
          <w:rFonts w:asciiTheme="majorEastAsia" w:hAnsiTheme="majorEastAsia" w:eastAsiaTheme="majorEastAsia"/>
          <w:szCs w:val="21"/>
        </w:rPr>
        <w:t>提供除法律、法规明确规定外的其他担保</w:t>
      </w:r>
      <w:r>
        <w:rPr>
          <w:rFonts w:hint="eastAsia" w:asciiTheme="majorEastAsia" w:hAnsiTheme="majorEastAsia" w:eastAsiaTheme="majorEastAsia"/>
          <w:szCs w:val="21"/>
        </w:rPr>
        <w:t>。</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47. 合同备案</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采购人与中标人应于合同签订之日起十日内，由采购人或委托中标人将采购合同副本抄送合同备案工作实施机构备案。</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48. 合同变更</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合同变更事宜按《深圳市财政局 深圳市政府采购中心关于进一步加强市本级政府采购合同备案管理工作的通知》（深财购〔2019〕43号）相关规定执行。</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49. 项目验收</w:t>
      </w:r>
    </w:p>
    <w:p>
      <w:pPr>
        <w:spacing w:line="360" w:lineRule="auto"/>
        <w:ind w:right="176" w:firstLine="420"/>
        <w:rPr>
          <w:rFonts w:asciiTheme="majorEastAsia" w:hAnsiTheme="majorEastAsia" w:eastAsiaTheme="majorEastAsia"/>
          <w:szCs w:val="21"/>
        </w:rPr>
      </w:pPr>
      <w:r>
        <w:rPr>
          <w:rFonts w:hint="eastAsia" w:asciiTheme="majorEastAsia" w:hAnsiTheme="majorEastAsia" w:eastAsiaTheme="majorEastAsia"/>
          <w:szCs w:val="21"/>
        </w:rPr>
        <w:t>49.1采购人应当按照招标文件和合同规定的标准和方法，及时组织验收。</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50. 宣传</w:t>
      </w:r>
    </w:p>
    <w:p>
      <w:pPr>
        <w:spacing w:line="360" w:lineRule="auto"/>
        <w:ind w:left="210" w:leftChars="100" w:firstLine="411" w:firstLineChars="196"/>
        <w:rPr>
          <w:rFonts w:asciiTheme="majorEastAsia" w:hAnsiTheme="majorEastAsia" w:eastAsiaTheme="majorEastAsia"/>
          <w:szCs w:val="21"/>
        </w:rPr>
      </w:pPr>
      <w:r>
        <w:rPr>
          <w:rFonts w:hint="eastAsia" w:asciiTheme="majorEastAsia" w:hAnsiTheme="majorEastAsia" w:eastAsiaTheme="majorEastAsia"/>
          <w:szCs w:val="21"/>
        </w:rPr>
        <w:t>凡与政府采购活动有关的宣传或广告，若当中提及政府采购，</w:t>
      </w:r>
      <w:r>
        <w:rPr>
          <w:rFonts w:asciiTheme="majorEastAsia" w:hAnsiTheme="majorEastAsia" w:eastAsiaTheme="majorEastAsia"/>
          <w:szCs w:val="21"/>
        </w:rPr>
        <w:t>必须事先将具体对外宣传方案报</w:t>
      </w:r>
      <w:r>
        <w:rPr>
          <w:rFonts w:hint="eastAsia" w:asciiTheme="majorEastAsia" w:hAnsiTheme="majorEastAsia" w:eastAsiaTheme="majorEastAsia"/>
          <w:szCs w:val="21"/>
        </w:rPr>
        <w:t>同级财政部门</w:t>
      </w:r>
      <w:r>
        <w:rPr>
          <w:rFonts w:asciiTheme="majorEastAsia" w:hAnsiTheme="majorEastAsia" w:eastAsiaTheme="majorEastAsia"/>
          <w:szCs w:val="21"/>
        </w:rPr>
        <w:t>和</w:t>
      </w:r>
      <w:r>
        <w:rPr>
          <w:rFonts w:hint="eastAsia" w:asciiTheme="majorEastAsia" w:hAnsiTheme="majorEastAsia" w:eastAsiaTheme="majorEastAsia"/>
          <w:szCs w:val="21"/>
        </w:rPr>
        <w:t>采购代理机构</w:t>
      </w:r>
      <w:r>
        <w:rPr>
          <w:rFonts w:asciiTheme="majorEastAsia" w:hAnsiTheme="majorEastAsia" w:eastAsiaTheme="majorEastAsia"/>
          <w:szCs w:val="21"/>
        </w:rPr>
        <w:t>，并征得其同意。对外市场宣传包括但不限于以下形式：</w:t>
      </w:r>
    </w:p>
    <w:p>
      <w:pPr>
        <w:spacing w:line="360" w:lineRule="auto"/>
        <w:ind w:left="210" w:leftChars="100" w:firstLine="411" w:firstLineChars="196"/>
        <w:rPr>
          <w:rFonts w:asciiTheme="majorEastAsia" w:hAnsiTheme="majorEastAsia" w:eastAsiaTheme="majorEastAsia"/>
          <w:szCs w:val="21"/>
        </w:rPr>
      </w:pPr>
      <w:r>
        <w:rPr>
          <w:rFonts w:asciiTheme="majorEastAsia" w:hAnsiTheme="majorEastAsia" w:eastAsiaTheme="majorEastAsia"/>
          <w:szCs w:val="21"/>
        </w:rPr>
        <w:t>a.名片、宣传册、广告标语等；</w:t>
      </w:r>
    </w:p>
    <w:p>
      <w:pPr>
        <w:spacing w:line="360" w:lineRule="auto"/>
        <w:ind w:left="210" w:leftChars="100" w:firstLine="411" w:firstLineChars="196"/>
        <w:rPr>
          <w:rFonts w:asciiTheme="majorEastAsia" w:hAnsiTheme="majorEastAsia" w:eastAsiaTheme="majorEastAsia"/>
          <w:szCs w:val="21"/>
        </w:rPr>
      </w:pPr>
      <w:r>
        <w:rPr>
          <w:rFonts w:asciiTheme="majorEastAsia" w:hAnsiTheme="majorEastAsia" w:eastAsiaTheme="majorEastAsia"/>
          <w:szCs w:val="21"/>
        </w:rPr>
        <w:t>b.案例介绍、推广等；</w:t>
      </w:r>
    </w:p>
    <w:p>
      <w:pPr>
        <w:spacing w:line="360" w:lineRule="auto"/>
        <w:ind w:left="210" w:leftChars="100" w:firstLine="411" w:firstLineChars="196"/>
        <w:rPr>
          <w:rFonts w:asciiTheme="majorEastAsia" w:hAnsiTheme="majorEastAsia" w:eastAsiaTheme="majorEastAsia"/>
          <w:szCs w:val="21"/>
        </w:rPr>
      </w:pPr>
      <w:r>
        <w:rPr>
          <w:rFonts w:hint="eastAsia" w:asciiTheme="majorEastAsia" w:hAnsiTheme="majorEastAsia" w:eastAsiaTheme="majorEastAsia"/>
          <w:szCs w:val="21"/>
        </w:rPr>
        <w:t>c.工作</w:t>
      </w:r>
      <w:r>
        <w:rPr>
          <w:rFonts w:asciiTheme="majorEastAsia" w:hAnsiTheme="majorEastAsia" w:eastAsiaTheme="majorEastAsia"/>
          <w:szCs w:val="21"/>
        </w:rPr>
        <w:t>人员向其他消费群体宣传。</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51. 供应商违法责任</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1.1</w:t>
      </w:r>
      <w:r>
        <w:rPr>
          <w:rFonts w:hint="eastAsia" w:asciiTheme="majorEastAsia" w:hAnsiTheme="majorEastAsia" w:eastAsiaTheme="major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（1）在采购活动中应当回避而未回避的；</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（2）未按本条例规定签订、履行采购合同，造成严重后果的；</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（3）隐瞒真实情况，提供虚假资料的；</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（4）以非法手段排斥其他供应商参与竞争的；</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（5）与其他采购参加人串通投标的；</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（6）恶意投诉的；</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（7）向采购项目相关人行贿或者提供其他不当利益的；</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（8）阻碍、抗拒主管部门监督检查的；</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（9）其他违反本条例规定的行为。</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 xml:space="preserve">1.2 </w:t>
      </w:r>
      <w:r>
        <w:rPr>
          <w:rFonts w:hint="eastAsia" w:asciiTheme="majorEastAsia" w:hAnsiTheme="majorEastAsia" w:eastAsiaTheme="majorEastAsia"/>
          <w:szCs w:val="21"/>
        </w:rPr>
        <w:t>根据《深圳市财政局关于明确政府采购保证金管理工作的通知》（深财购[2019]42号）的要求，供应商在政府采购活动中出现《深圳经济特区政府采购条例实施细则》第八十四条所列情形的，</w:t>
      </w:r>
      <w:bookmarkStart w:id="81" w:name="_Hlk72440769"/>
      <w:r>
        <w:rPr>
          <w:rFonts w:hint="eastAsia" w:asciiTheme="majorEastAsia" w:hAnsiTheme="majorEastAsia" w:eastAsiaTheme="majorEastAsia"/>
          <w:szCs w:val="21"/>
        </w:rPr>
        <w:t>采购人或采购代理机构</w:t>
      </w:r>
      <w:bookmarkEnd w:id="81"/>
      <w:r>
        <w:rPr>
          <w:rFonts w:hint="eastAsia" w:asciiTheme="majorEastAsia" w:hAnsiTheme="majorEastAsia" w:eastAsiaTheme="majorEastAsia"/>
          <w:szCs w:val="21"/>
        </w:rPr>
        <w:t>可将有关情况报同级财政部门，由财政部门根据实际情况记入供应商诚信档案，予以通报：</w:t>
      </w:r>
    </w:p>
    <w:p>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）投标截止后，撤销投标的；</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2</w:t>
      </w:r>
      <w:r>
        <w:rPr>
          <w:rFonts w:asciiTheme="majorEastAsia" w:hAnsiTheme="majorEastAsia" w:eastAsiaTheme="majorEastAsia"/>
          <w:szCs w:val="21"/>
        </w:rPr>
        <w:t>）中标后无正当理由未在规定期限内签订合同的；</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3</w:t>
      </w:r>
      <w:r>
        <w:rPr>
          <w:rFonts w:asciiTheme="majorEastAsia" w:hAnsiTheme="majorEastAsia" w:eastAsiaTheme="majorEastAsia"/>
          <w:szCs w:val="21"/>
        </w:rPr>
        <w:t>）将中标项目转让给他人、或者在投标文件中未说明且未经采购人、采购招标机构同意，将中标项目分包给他人的；</w:t>
      </w:r>
    </w:p>
    <w:p>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4</w:t>
      </w:r>
      <w:r>
        <w:rPr>
          <w:rFonts w:asciiTheme="majorEastAsia" w:hAnsiTheme="majorEastAsia" w:eastAsiaTheme="majorEastAsia"/>
          <w:szCs w:val="21"/>
        </w:rPr>
        <w:t>）拒绝履行合同义务的</w:t>
      </w:r>
      <w:r>
        <w:rPr>
          <w:rFonts w:hint="eastAsia" w:asciiTheme="majorEastAsia" w:hAnsiTheme="majorEastAsia" w:eastAsiaTheme="majorEastAsia"/>
          <w:szCs w:val="21"/>
        </w:rPr>
        <w:t>。</w:t>
      </w:r>
    </w:p>
    <w:bookmarkEnd w:id="65"/>
    <w:p>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质疑处理</w:t>
      </w:r>
    </w:p>
    <w:p>
      <w:pPr>
        <w:spacing w:line="360" w:lineRule="auto"/>
        <w:rPr>
          <w:rFonts w:asciiTheme="majorEastAsia" w:hAnsiTheme="majorEastAsia" w:eastAsiaTheme="majorEastAsia"/>
          <w:b/>
          <w:bCs/>
          <w:szCs w:val="21"/>
        </w:rPr>
      </w:pPr>
      <w:bookmarkStart w:id="82" w:name="_Hlk72439706"/>
      <w:r>
        <w:rPr>
          <w:rFonts w:hint="eastAsia" w:asciiTheme="majorEastAsia" w:hAnsiTheme="majorEastAsia" w:eastAsiaTheme="majorEastAsia"/>
          <w:b/>
          <w:bCs/>
          <w:szCs w:val="21"/>
        </w:rPr>
        <w:t>52.质疑提出与答复</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52.1提出质疑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52.2</w:t>
      </w:r>
      <w:r>
        <w:rPr>
          <w:rFonts w:asciiTheme="majorEastAsia" w:hAnsiTheme="majorEastAsia" w:eastAsiaTheme="majorEastAsia"/>
          <w:szCs w:val="21"/>
        </w:rPr>
        <w:t>法律依据</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52.3质疑条件</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52.3.1提出质疑的供应商应当是参与所质疑项目采购活动的供应商；</w:t>
      </w:r>
      <w:bookmarkStart w:id="83" w:name="_Hlk75374941"/>
      <w:r>
        <w:rPr>
          <w:rFonts w:hint="eastAsia" w:asciiTheme="majorEastAsia" w:hAnsiTheme="majorEastAsia" w:eastAsiaTheme="majorEastAsia"/>
          <w:szCs w:val="21"/>
        </w:rPr>
        <w:t>以联合体形式参与的，质疑应当由组成联合体的所有成员共同提出</w:t>
      </w:r>
      <w:bookmarkEnd w:id="83"/>
      <w:r>
        <w:rPr>
          <w:rFonts w:hint="eastAsia" w:asciiTheme="majorEastAsia" w:hAnsiTheme="majorEastAsia" w:eastAsiaTheme="majorEastAsia"/>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52.3.3应提交书面质疑函，质疑函应当包括以下内容：</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（1）供应商的名称（或者姓名）、地址、邮编、邮箱、联系人及联系电话；</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52.4提交</w:t>
      </w:r>
      <w:r>
        <w:rPr>
          <w:rFonts w:asciiTheme="majorEastAsia" w:hAnsiTheme="majorEastAsia" w:eastAsiaTheme="majorEastAsia"/>
          <w:szCs w:val="21"/>
        </w:rPr>
        <w:t>材料</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52.5提交方式</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2.5.1</w:t>
      </w:r>
      <w:r>
        <w:rPr>
          <w:rFonts w:hint="eastAsia" w:asciiTheme="majorEastAsia" w:hAnsiTheme="majorEastAsia" w:eastAsiaTheme="majorEastAsia"/>
          <w:szCs w:val="21"/>
        </w:rPr>
        <w:t>供应商登录“深圳政府采购智慧平台用户网上办事子系统（http://zfcg.szggzy.com/TPBidder/memberLogin）”，在“【我的项目】→【项目流程】→【质疑】”中提出质疑。</w:t>
      </w:r>
    </w:p>
    <w:p>
      <w:pPr>
        <w:spacing w:line="360" w:lineRule="auto"/>
        <w:ind w:firstLine="420" w:firstLineChars="200"/>
        <w:rPr>
          <w:rFonts w:asciiTheme="majorEastAsia" w:hAnsiTheme="majorEastAsia" w:eastAsiaTheme="majorEastAsia"/>
          <w:b/>
          <w:bCs/>
          <w:szCs w:val="21"/>
        </w:rPr>
      </w:pPr>
      <w:r>
        <w:rPr>
          <w:rFonts w:hint="eastAsia" w:asciiTheme="majorEastAsia" w:hAnsiTheme="majorEastAsia" w:eastAsiaTheme="majorEastAsia"/>
          <w:szCs w:val="21"/>
        </w:rPr>
        <w:t>5</w:t>
      </w:r>
      <w:r>
        <w:rPr>
          <w:rFonts w:asciiTheme="majorEastAsia" w:hAnsiTheme="majorEastAsia" w:eastAsiaTheme="majorEastAsia"/>
          <w:szCs w:val="21"/>
        </w:rPr>
        <w:t>2.5.2</w:t>
      </w:r>
      <w:r>
        <w:rPr>
          <w:rFonts w:hint="eastAsia" w:asciiTheme="majorEastAsia" w:hAnsiTheme="majorEastAsia" w:eastAsiaTheme="majorEastAsia"/>
          <w:szCs w:val="21"/>
        </w:rPr>
        <w:t>同时，请质疑供应商根据深圳政府采购智慧平台（http://zfcg.szggzy.com/）所发布的质疑指引、质疑函模板填写质疑函并提交质疑材料。</w:t>
      </w:r>
      <w:r>
        <w:rPr>
          <w:rFonts w:hint="eastAsia" w:asciiTheme="majorEastAsia" w:hAnsiTheme="majorEastAsia" w:eastAsiaTheme="majorEastAsia"/>
          <w:bCs/>
          <w:szCs w:val="21"/>
        </w:rPr>
        <w:t>地址：深圳市中正招标有限公司（深圳市福田区民田路171号新华保险大厦903），质疑咨询电话：0755-83026699。</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52.6收文办理</w:t>
      </w:r>
      <w:r>
        <w:rPr>
          <w:rFonts w:asciiTheme="majorEastAsia" w:hAnsiTheme="majorEastAsia" w:eastAsiaTheme="majorEastAsia"/>
          <w:szCs w:val="21"/>
        </w:rPr>
        <w:t>程序</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52.6.2供应商提交的质疑材料不符合质疑条件的，视情况处理：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52.7质疑答复时限</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52.8投诉</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82"/>
    </w:p>
    <w:p>
      <w:pPr>
        <w:widowControl/>
        <w:jc w:val="left"/>
        <w:rPr>
          <w:rFonts w:ascii="宋体" w:hAnsi="宋体"/>
          <w:b/>
          <w:bCs/>
          <w:kern w:val="0"/>
          <w:sz w:val="24"/>
          <w:szCs w:val="20"/>
        </w:rPr>
      </w:pP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ˎ̥">
    <w:altName w:val="微软雅黑"/>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W1)">
    <w:altName w:val="Arial"/>
    <w:panose1 w:val="00000000000000000000"/>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仿宋"/>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38497"/>
    </w:sdtPr>
    <w:sdtContent>
      <w:p>
        <w:pPr>
          <w:pStyle w:val="28"/>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2JjZGQwODQzNTVmMDg4ZGNmNzRhYmJlZDY2YTUifQ=="/>
  </w:docVars>
  <w:rsids>
    <w:rsidRoot w:val="00103A86"/>
    <w:rsid w:val="00000F5F"/>
    <w:rsid w:val="00001526"/>
    <w:rsid w:val="00002B3E"/>
    <w:rsid w:val="000051FB"/>
    <w:rsid w:val="00010EAF"/>
    <w:rsid w:val="00013F11"/>
    <w:rsid w:val="00017B27"/>
    <w:rsid w:val="00017EF4"/>
    <w:rsid w:val="00020580"/>
    <w:rsid w:val="000210AC"/>
    <w:rsid w:val="000212B9"/>
    <w:rsid w:val="00026D62"/>
    <w:rsid w:val="0002760A"/>
    <w:rsid w:val="00031553"/>
    <w:rsid w:val="00033434"/>
    <w:rsid w:val="00035488"/>
    <w:rsid w:val="00043C69"/>
    <w:rsid w:val="00045D06"/>
    <w:rsid w:val="00047456"/>
    <w:rsid w:val="0005288D"/>
    <w:rsid w:val="00052AA5"/>
    <w:rsid w:val="00053075"/>
    <w:rsid w:val="00053E42"/>
    <w:rsid w:val="00054E39"/>
    <w:rsid w:val="00056152"/>
    <w:rsid w:val="00057148"/>
    <w:rsid w:val="00076F21"/>
    <w:rsid w:val="00081E93"/>
    <w:rsid w:val="00084FFC"/>
    <w:rsid w:val="00091185"/>
    <w:rsid w:val="00093911"/>
    <w:rsid w:val="0009519F"/>
    <w:rsid w:val="000A0AE2"/>
    <w:rsid w:val="000A2EEF"/>
    <w:rsid w:val="000B1F98"/>
    <w:rsid w:val="000B3600"/>
    <w:rsid w:val="000B4026"/>
    <w:rsid w:val="000B4536"/>
    <w:rsid w:val="000B7AEC"/>
    <w:rsid w:val="000B7D39"/>
    <w:rsid w:val="000C1237"/>
    <w:rsid w:val="000C2DF7"/>
    <w:rsid w:val="000C3C3C"/>
    <w:rsid w:val="000C6F22"/>
    <w:rsid w:val="000D1E66"/>
    <w:rsid w:val="000D2659"/>
    <w:rsid w:val="000D2792"/>
    <w:rsid w:val="000D3A8C"/>
    <w:rsid w:val="000D63EA"/>
    <w:rsid w:val="000D7062"/>
    <w:rsid w:val="000D7BB3"/>
    <w:rsid w:val="000E0B80"/>
    <w:rsid w:val="000E0FC1"/>
    <w:rsid w:val="000F345B"/>
    <w:rsid w:val="000F37FF"/>
    <w:rsid w:val="000F3E6E"/>
    <w:rsid w:val="000F4129"/>
    <w:rsid w:val="000F5B06"/>
    <w:rsid w:val="000F6BC0"/>
    <w:rsid w:val="000F7A75"/>
    <w:rsid w:val="000F7F8C"/>
    <w:rsid w:val="00100E4E"/>
    <w:rsid w:val="00101F69"/>
    <w:rsid w:val="00103A86"/>
    <w:rsid w:val="00105734"/>
    <w:rsid w:val="00112114"/>
    <w:rsid w:val="001207E9"/>
    <w:rsid w:val="00123879"/>
    <w:rsid w:val="00123D47"/>
    <w:rsid w:val="00124153"/>
    <w:rsid w:val="00127F85"/>
    <w:rsid w:val="00132093"/>
    <w:rsid w:val="00136086"/>
    <w:rsid w:val="0013643E"/>
    <w:rsid w:val="0013763C"/>
    <w:rsid w:val="0014134B"/>
    <w:rsid w:val="001429E4"/>
    <w:rsid w:val="00144AF1"/>
    <w:rsid w:val="00146B6B"/>
    <w:rsid w:val="00154E01"/>
    <w:rsid w:val="0016001B"/>
    <w:rsid w:val="00161B46"/>
    <w:rsid w:val="00162A02"/>
    <w:rsid w:val="0016401E"/>
    <w:rsid w:val="001663AA"/>
    <w:rsid w:val="00166DC3"/>
    <w:rsid w:val="00172186"/>
    <w:rsid w:val="00176757"/>
    <w:rsid w:val="001774EA"/>
    <w:rsid w:val="001779CB"/>
    <w:rsid w:val="00177D78"/>
    <w:rsid w:val="001829DD"/>
    <w:rsid w:val="00182C14"/>
    <w:rsid w:val="00182F93"/>
    <w:rsid w:val="00183E48"/>
    <w:rsid w:val="0018445D"/>
    <w:rsid w:val="0019098F"/>
    <w:rsid w:val="00192FA2"/>
    <w:rsid w:val="00195091"/>
    <w:rsid w:val="001A4688"/>
    <w:rsid w:val="001A6235"/>
    <w:rsid w:val="001B182A"/>
    <w:rsid w:val="001B23DF"/>
    <w:rsid w:val="001B3E1A"/>
    <w:rsid w:val="001B792B"/>
    <w:rsid w:val="001C2A95"/>
    <w:rsid w:val="001C3BC1"/>
    <w:rsid w:val="001D297A"/>
    <w:rsid w:val="001D532C"/>
    <w:rsid w:val="001E021F"/>
    <w:rsid w:val="001E63A6"/>
    <w:rsid w:val="001E7EC4"/>
    <w:rsid w:val="001F2756"/>
    <w:rsid w:val="001F5DBD"/>
    <w:rsid w:val="001F646F"/>
    <w:rsid w:val="001F7F91"/>
    <w:rsid w:val="00200342"/>
    <w:rsid w:val="00201237"/>
    <w:rsid w:val="00202335"/>
    <w:rsid w:val="002034C2"/>
    <w:rsid w:val="00206F1A"/>
    <w:rsid w:val="002074CD"/>
    <w:rsid w:val="002108E8"/>
    <w:rsid w:val="002135F8"/>
    <w:rsid w:val="00217A36"/>
    <w:rsid w:val="00217B3F"/>
    <w:rsid w:val="00222612"/>
    <w:rsid w:val="002300CF"/>
    <w:rsid w:val="00231DCF"/>
    <w:rsid w:val="002354A2"/>
    <w:rsid w:val="002418AD"/>
    <w:rsid w:val="00241C2F"/>
    <w:rsid w:val="00243E8A"/>
    <w:rsid w:val="0024433A"/>
    <w:rsid w:val="002452F6"/>
    <w:rsid w:val="002477F6"/>
    <w:rsid w:val="00247934"/>
    <w:rsid w:val="00252837"/>
    <w:rsid w:val="002531A5"/>
    <w:rsid w:val="002606E7"/>
    <w:rsid w:val="00260C60"/>
    <w:rsid w:val="002652B4"/>
    <w:rsid w:val="00270871"/>
    <w:rsid w:val="002711CD"/>
    <w:rsid w:val="0027121B"/>
    <w:rsid w:val="0027312A"/>
    <w:rsid w:val="00273D6B"/>
    <w:rsid w:val="002753A8"/>
    <w:rsid w:val="0028241E"/>
    <w:rsid w:val="002867E0"/>
    <w:rsid w:val="00287E9E"/>
    <w:rsid w:val="00287F91"/>
    <w:rsid w:val="00291B1B"/>
    <w:rsid w:val="00291D1C"/>
    <w:rsid w:val="002934B9"/>
    <w:rsid w:val="00293AB2"/>
    <w:rsid w:val="00294F5F"/>
    <w:rsid w:val="0029679A"/>
    <w:rsid w:val="002968EA"/>
    <w:rsid w:val="002A19D6"/>
    <w:rsid w:val="002A1C9A"/>
    <w:rsid w:val="002A6A8D"/>
    <w:rsid w:val="002A73B4"/>
    <w:rsid w:val="002A7F40"/>
    <w:rsid w:val="002B1E2D"/>
    <w:rsid w:val="002B4848"/>
    <w:rsid w:val="002B73FC"/>
    <w:rsid w:val="002B763E"/>
    <w:rsid w:val="002C2B90"/>
    <w:rsid w:val="002C317D"/>
    <w:rsid w:val="002C3CEF"/>
    <w:rsid w:val="002C76FC"/>
    <w:rsid w:val="002D0555"/>
    <w:rsid w:val="002D175A"/>
    <w:rsid w:val="002D34A5"/>
    <w:rsid w:val="002D35C6"/>
    <w:rsid w:val="002D3FE3"/>
    <w:rsid w:val="002D5B4D"/>
    <w:rsid w:val="002D5F35"/>
    <w:rsid w:val="002E0E9F"/>
    <w:rsid w:val="002E2CA0"/>
    <w:rsid w:val="002E424C"/>
    <w:rsid w:val="002E665D"/>
    <w:rsid w:val="002E6858"/>
    <w:rsid w:val="002E737B"/>
    <w:rsid w:val="002F01F4"/>
    <w:rsid w:val="002F7C97"/>
    <w:rsid w:val="003134D0"/>
    <w:rsid w:val="0031455C"/>
    <w:rsid w:val="00315CA6"/>
    <w:rsid w:val="0032060F"/>
    <w:rsid w:val="0032158E"/>
    <w:rsid w:val="00321C26"/>
    <w:rsid w:val="00323BF8"/>
    <w:rsid w:val="003274C9"/>
    <w:rsid w:val="00334DFC"/>
    <w:rsid w:val="00335B69"/>
    <w:rsid w:val="00341462"/>
    <w:rsid w:val="0034602D"/>
    <w:rsid w:val="0034731C"/>
    <w:rsid w:val="00350D9C"/>
    <w:rsid w:val="00352073"/>
    <w:rsid w:val="0035334F"/>
    <w:rsid w:val="003541EA"/>
    <w:rsid w:val="00355255"/>
    <w:rsid w:val="0035786E"/>
    <w:rsid w:val="003604E6"/>
    <w:rsid w:val="00362824"/>
    <w:rsid w:val="00364E19"/>
    <w:rsid w:val="0036526C"/>
    <w:rsid w:val="00366D19"/>
    <w:rsid w:val="00385398"/>
    <w:rsid w:val="00386BE2"/>
    <w:rsid w:val="003909B8"/>
    <w:rsid w:val="00391C88"/>
    <w:rsid w:val="00395A00"/>
    <w:rsid w:val="0039674E"/>
    <w:rsid w:val="003A2F53"/>
    <w:rsid w:val="003A61C9"/>
    <w:rsid w:val="003B1518"/>
    <w:rsid w:val="003B477B"/>
    <w:rsid w:val="003B5360"/>
    <w:rsid w:val="003C1A26"/>
    <w:rsid w:val="003C2295"/>
    <w:rsid w:val="003C5B3E"/>
    <w:rsid w:val="003D1B12"/>
    <w:rsid w:val="003D23B8"/>
    <w:rsid w:val="003D2828"/>
    <w:rsid w:val="003D2EFA"/>
    <w:rsid w:val="003D3346"/>
    <w:rsid w:val="003D408D"/>
    <w:rsid w:val="003D6CD3"/>
    <w:rsid w:val="003E3B27"/>
    <w:rsid w:val="003E51D5"/>
    <w:rsid w:val="003E77F1"/>
    <w:rsid w:val="003F1407"/>
    <w:rsid w:val="003F41FE"/>
    <w:rsid w:val="003F5834"/>
    <w:rsid w:val="003F5E4A"/>
    <w:rsid w:val="003F7201"/>
    <w:rsid w:val="003F7FB5"/>
    <w:rsid w:val="00401E20"/>
    <w:rsid w:val="00406FB6"/>
    <w:rsid w:val="0041065D"/>
    <w:rsid w:val="004107D9"/>
    <w:rsid w:val="00415BBF"/>
    <w:rsid w:val="00415C66"/>
    <w:rsid w:val="00416664"/>
    <w:rsid w:val="00422275"/>
    <w:rsid w:val="004268C7"/>
    <w:rsid w:val="00436747"/>
    <w:rsid w:val="00436823"/>
    <w:rsid w:val="00436D0E"/>
    <w:rsid w:val="0043714D"/>
    <w:rsid w:val="0044288C"/>
    <w:rsid w:val="0044387F"/>
    <w:rsid w:val="00444F45"/>
    <w:rsid w:val="00452496"/>
    <w:rsid w:val="00457241"/>
    <w:rsid w:val="00457969"/>
    <w:rsid w:val="00470214"/>
    <w:rsid w:val="00470DDE"/>
    <w:rsid w:val="00473BFB"/>
    <w:rsid w:val="00481615"/>
    <w:rsid w:val="0048258B"/>
    <w:rsid w:val="004836AC"/>
    <w:rsid w:val="00484215"/>
    <w:rsid w:val="004858C0"/>
    <w:rsid w:val="004861CC"/>
    <w:rsid w:val="004867C3"/>
    <w:rsid w:val="00490CC8"/>
    <w:rsid w:val="0049604C"/>
    <w:rsid w:val="00496A0A"/>
    <w:rsid w:val="004A4F5D"/>
    <w:rsid w:val="004A6E9C"/>
    <w:rsid w:val="004B3A3A"/>
    <w:rsid w:val="004B60AE"/>
    <w:rsid w:val="004B6178"/>
    <w:rsid w:val="004B757E"/>
    <w:rsid w:val="004B7C51"/>
    <w:rsid w:val="004C1ACC"/>
    <w:rsid w:val="004C31CC"/>
    <w:rsid w:val="004C40D7"/>
    <w:rsid w:val="004C5625"/>
    <w:rsid w:val="004D02D0"/>
    <w:rsid w:val="004D04CE"/>
    <w:rsid w:val="004D25B3"/>
    <w:rsid w:val="004D536D"/>
    <w:rsid w:val="004D5953"/>
    <w:rsid w:val="004E0C6E"/>
    <w:rsid w:val="004E3678"/>
    <w:rsid w:val="004E39F1"/>
    <w:rsid w:val="004E48A7"/>
    <w:rsid w:val="004F18FA"/>
    <w:rsid w:val="004F3B85"/>
    <w:rsid w:val="004F5425"/>
    <w:rsid w:val="004F7FD4"/>
    <w:rsid w:val="00502B0E"/>
    <w:rsid w:val="00502F84"/>
    <w:rsid w:val="00505EE2"/>
    <w:rsid w:val="00507DFF"/>
    <w:rsid w:val="0051248B"/>
    <w:rsid w:val="005168DE"/>
    <w:rsid w:val="00517170"/>
    <w:rsid w:val="00521293"/>
    <w:rsid w:val="00523ABC"/>
    <w:rsid w:val="00523BC1"/>
    <w:rsid w:val="005244EE"/>
    <w:rsid w:val="005275BC"/>
    <w:rsid w:val="005276AA"/>
    <w:rsid w:val="00531FE5"/>
    <w:rsid w:val="00532F7C"/>
    <w:rsid w:val="00535553"/>
    <w:rsid w:val="0053628E"/>
    <w:rsid w:val="00536989"/>
    <w:rsid w:val="00541552"/>
    <w:rsid w:val="00545707"/>
    <w:rsid w:val="005473DF"/>
    <w:rsid w:val="00547E43"/>
    <w:rsid w:val="0055051A"/>
    <w:rsid w:val="005567C6"/>
    <w:rsid w:val="0055768A"/>
    <w:rsid w:val="005625D5"/>
    <w:rsid w:val="0056570D"/>
    <w:rsid w:val="00565ED8"/>
    <w:rsid w:val="00566BD4"/>
    <w:rsid w:val="00570797"/>
    <w:rsid w:val="00572443"/>
    <w:rsid w:val="005808E0"/>
    <w:rsid w:val="0058192B"/>
    <w:rsid w:val="00581E11"/>
    <w:rsid w:val="00582367"/>
    <w:rsid w:val="00584A24"/>
    <w:rsid w:val="00585EC1"/>
    <w:rsid w:val="00586704"/>
    <w:rsid w:val="0059128B"/>
    <w:rsid w:val="00595CFA"/>
    <w:rsid w:val="005A46D8"/>
    <w:rsid w:val="005A51D2"/>
    <w:rsid w:val="005A7BB6"/>
    <w:rsid w:val="005B62D6"/>
    <w:rsid w:val="005D3725"/>
    <w:rsid w:val="005D4FDB"/>
    <w:rsid w:val="005D7AF6"/>
    <w:rsid w:val="005E2FAA"/>
    <w:rsid w:val="005E3D64"/>
    <w:rsid w:val="005E45FD"/>
    <w:rsid w:val="005E6167"/>
    <w:rsid w:val="005F1472"/>
    <w:rsid w:val="005F22E2"/>
    <w:rsid w:val="005F2EDA"/>
    <w:rsid w:val="006049A0"/>
    <w:rsid w:val="00606E3B"/>
    <w:rsid w:val="00607E8A"/>
    <w:rsid w:val="0061141D"/>
    <w:rsid w:val="006137C4"/>
    <w:rsid w:val="00615160"/>
    <w:rsid w:val="006154A6"/>
    <w:rsid w:val="00615993"/>
    <w:rsid w:val="00615BEC"/>
    <w:rsid w:val="00620A11"/>
    <w:rsid w:val="0062508B"/>
    <w:rsid w:val="00625CB7"/>
    <w:rsid w:val="0063464A"/>
    <w:rsid w:val="00636B52"/>
    <w:rsid w:val="00641F0A"/>
    <w:rsid w:val="006421A8"/>
    <w:rsid w:val="00643C1D"/>
    <w:rsid w:val="00643E89"/>
    <w:rsid w:val="00645D4B"/>
    <w:rsid w:val="00646407"/>
    <w:rsid w:val="006662BB"/>
    <w:rsid w:val="00667476"/>
    <w:rsid w:val="00670CB9"/>
    <w:rsid w:val="00677A79"/>
    <w:rsid w:val="00681216"/>
    <w:rsid w:val="006835C3"/>
    <w:rsid w:val="00685854"/>
    <w:rsid w:val="00685E9E"/>
    <w:rsid w:val="00686EE7"/>
    <w:rsid w:val="00690397"/>
    <w:rsid w:val="00692281"/>
    <w:rsid w:val="00693711"/>
    <w:rsid w:val="00694D5D"/>
    <w:rsid w:val="006951CF"/>
    <w:rsid w:val="006958C0"/>
    <w:rsid w:val="006971BC"/>
    <w:rsid w:val="006A0193"/>
    <w:rsid w:val="006A13AC"/>
    <w:rsid w:val="006A5182"/>
    <w:rsid w:val="006A5DC8"/>
    <w:rsid w:val="006A65A7"/>
    <w:rsid w:val="006A664E"/>
    <w:rsid w:val="006B098C"/>
    <w:rsid w:val="006B2978"/>
    <w:rsid w:val="006B311A"/>
    <w:rsid w:val="006B315C"/>
    <w:rsid w:val="006C1B57"/>
    <w:rsid w:val="006C1F3B"/>
    <w:rsid w:val="006C3731"/>
    <w:rsid w:val="006D1972"/>
    <w:rsid w:val="006D1F18"/>
    <w:rsid w:val="006D25B3"/>
    <w:rsid w:val="006D4071"/>
    <w:rsid w:val="006D6578"/>
    <w:rsid w:val="006E168A"/>
    <w:rsid w:val="006E459D"/>
    <w:rsid w:val="006E5EAA"/>
    <w:rsid w:val="006E699A"/>
    <w:rsid w:val="006E74F5"/>
    <w:rsid w:val="006E78BD"/>
    <w:rsid w:val="006E791B"/>
    <w:rsid w:val="006F03E1"/>
    <w:rsid w:val="006F1766"/>
    <w:rsid w:val="006F6C4C"/>
    <w:rsid w:val="0070084E"/>
    <w:rsid w:val="0070351A"/>
    <w:rsid w:val="00710F8C"/>
    <w:rsid w:val="00711729"/>
    <w:rsid w:val="00712A61"/>
    <w:rsid w:val="007204DB"/>
    <w:rsid w:val="007207C9"/>
    <w:rsid w:val="0072168E"/>
    <w:rsid w:val="007241B3"/>
    <w:rsid w:val="007248F4"/>
    <w:rsid w:val="00724CB4"/>
    <w:rsid w:val="00726A25"/>
    <w:rsid w:val="00727DFE"/>
    <w:rsid w:val="0073340D"/>
    <w:rsid w:val="007338AF"/>
    <w:rsid w:val="00737FB5"/>
    <w:rsid w:val="007403FC"/>
    <w:rsid w:val="00742F00"/>
    <w:rsid w:val="00750911"/>
    <w:rsid w:val="00751F91"/>
    <w:rsid w:val="00760BD7"/>
    <w:rsid w:val="007613A2"/>
    <w:rsid w:val="0076737B"/>
    <w:rsid w:val="00772474"/>
    <w:rsid w:val="0077351D"/>
    <w:rsid w:val="007746D6"/>
    <w:rsid w:val="00774778"/>
    <w:rsid w:val="0077772B"/>
    <w:rsid w:val="00777A80"/>
    <w:rsid w:val="00781154"/>
    <w:rsid w:val="00784499"/>
    <w:rsid w:val="00785645"/>
    <w:rsid w:val="0078577D"/>
    <w:rsid w:val="0078579D"/>
    <w:rsid w:val="007868DA"/>
    <w:rsid w:val="00787860"/>
    <w:rsid w:val="00792740"/>
    <w:rsid w:val="007957D3"/>
    <w:rsid w:val="007A2C8D"/>
    <w:rsid w:val="007A3488"/>
    <w:rsid w:val="007A46F2"/>
    <w:rsid w:val="007A511E"/>
    <w:rsid w:val="007A6441"/>
    <w:rsid w:val="007B0C04"/>
    <w:rsid w:val="007B16E8"/>
    <w:rsid w:val="007B1B17"/>
    <w:rsid w:val="007B2FB1"/>
    <w:rsid w:val="007B536E"/>
    <w:rsid w:val="007B6E38"/>
    <w:rsid w:val="007C2928"/>
    <w:rsid w:val="007C2C9B"/>
    <w:rsid w:val="007C65F9"/>
    <w:rsid w:val="007C6CEB"/>
    <w:rsid w:val="007D3423"/>
    <w:rsid w:val="007D35D5"/>
    <w:rsid w:val="007D5A84"/>
    <w:rsid w:val="007D5EFB"/>
    <w:rsid w:val="007E0D64"/>
    <w:rsid w:val="007E1313"/>
    <w:rsid w:val="007E360C"/>
    <w:rsid w:val="007E41F2"/>
    <w:rsid w:val="007E45EA"/>
    <w:rsid w:val="007E4FA0"/>
    <w:rsid w:val="007E4FC3"/>
    <w:rsid w:val="007E6F50"/>
    <w:rsid w:val="007E79DF"/>
    <w:rsid w:val="007F46C5"/>
    <w:rsid w:val="007F6FC7"/>
    <w:rsid w:val="008031DA"/>
    <w:rsid w:val="00805099"/>
    <w:rsid w:val="00805780"/>
    <w:rsid w:val="00810F1A"/>
    <w:rsid w:val="00813E8D"/>
    <w:rsid w:val="00815984"/>
    <w:rsid w:val="00816D32"/>
    <w:rsid w:val="008201D8"/>
    <w:rsid w:val="00823940"/>
    <w:rsid w:val="00825A27"/>
    <w:rsid w:val="00826371"/>
    <w:rsid w:val="00826DF2"/>
    <w:rsid w:val="00830D96"/>
    <w:rsid w:val="00835502"/>
    <w:rsid w:val="00842565"/>
    <w:rsid w:val="00844024"/>
    <w:rsid w:val="00852FDF"/>
    <w:rsid w:val="00853528"/>
    <w:rsid w:val="008554F3"/>
    <w:rsid w:val="00861A6D"/>
    <w:rsid w:val="00864900"/>
    <w:rsid w:val="008650CC"/>
    <w:rsid w:val="00871284"/>
    <w:rsid w:val="00871A7E"/>
    <w:rsid w:val="00874608"/>
    <w:rsid w:val="008757E7"/>
    <w:rsid w:val="008758EA"/>
    <w:rsid w:val="0087603B"/>
    <w:rsid w:val="0087661F"/>
    <w:rsid w:val="00876C1D"/>
    <w:rsid w:val="008806FF"/>
    <w:rsid w:val="00880868"/>
    <w:rsid w:val="008852FB"/>
    <w:rsid w:val="00885781"/>
    <w:rsid w:val="00894190"/>
    <w:rsid w:val="008968CE"/>
    <w:rsid w:val="00896E4B"/>
    <w:rsid w:val="00897C06"/>
    <w:rsid w:val="008A18E2"/>
    <w:rsid w:val="008A6376"/>
    <w:rsid w:val="008A6815"/>
    <w:rsid w:val="008A6A96"/>
    <w:rsid w:val="008B0FE3"/>
    <w:rsid w:val="008B2A24"/>
    <w:rsid w:val="008B313A"/>
    <w:rsid w:val="008B412C"/>
    <w:rsid w:val="008B702D"/>
    <w:rsid w:val="008B7AC3"/>
    <w:rsid w:val="008C23F3"/>
    <w:rsid w:val="008C34E9"/>
    <w:rsid w:val="008C6DFC"/>
    <w:rsid w:val="008C795C"/>
    <w:rsid w:val="008D03C4"/>
    <w:rsid w:val="008D2228"/>
    <w:rsid w:val="008D33E3"/>
    <w:rsid w:val="008D3709"/>
    <w:rsid w:val="008D59DB"/>
    <w:rsid w:val="008D5E13"/>
    <w:rsid w:val="008E461E"/>
    <w:rsid w:val="008E5A20"/>
    <w:rsid w:val="008E5ABA"/>
    <w:rsid w:val="008E6C98"/>
    <w:rsid w:val="008E784D"/>
    <w:rsid w:val="008E7C1B"/>
    <w:rsid w:val="008F0E38"/>
    <w:rsid w:val="008F1CB5"/>
    <w:rsid w:val="008F26F6"/>
    <w:rsid w:val="008F4025"/>
    <w:rsid w:val="008F6908"/>
    <w:rsid w:val="00911492"/>
    <w:rsid w:val="00911682"/>
    <w:rsid w:val="009148F9"/>
    <w:rsid w:val="009164A3"/>
    <w:rsid w:val="00921D32"/>
    <w:rsid w:val="00924D9E"/>
    <w:rsid w:val="00927D9D"/>
    <w:rsid w:val="0093468D"/>
    <w:rsid w:val="00942B7F"/>
    <w:rsid w:val="00942D0C"/>
    <w:rsid w:val="00945B5C"/>
    <w:rsid w:val="00951232"/>
    <w:rsid w:val="00956A14"/>
    <w:rsid w:val="00961CE9"/>
    <w:rsid w:val="0096217D"/>
    <w:rsid w:val="009625A5"/>
    <w:rsid w:val="00962B14"/>
    <w:rsid w:val="009646FC"/>
    <w:rsid w:val="00970451"/>
    <w:rsid w:val="00971A14"/>
    <w:rsid w:val="00971B37"/>
    <w:rsid w:val="00974DB1"/>
    <w:rsid w:val="00975251"/>
    <w:rsid w:val="00975F55"/>
    <w:rsid w:val="009767FD"/>
    <w:rsid w:val="00976FD1"/>
    <w:rsid w:val="009823CC"/>
    <w:rsid w:val="009824C2"/>
    <w:rsid w:val="009829EA"/>
    <w:rsid w:val="00984F4C"/>
    <w:rsid w:val="0098594E"/>
    <w:rsid w:val="009862D5"/>
    <w:rsid w:val="00987F57"/>
    <w:rsid w:val="00991492"/>
    <w:rsid w:val="00993BA7"/>
    <w:rsid w:val="00993F6B"/>
    <w:rsid w:val="00994092"/>
    <w:rsid w:val="009945C9"/>
    <w:rsid w:val="009A1A18"/>
    <w:rsid w:val="009A2405"/>
    <w:rsid w:val="009A4A1B"/>
    <w:rsid w:val="009A5506"/>
    <w:rsid w:val="009A575C"/>
    <w:rsid w:val="009A5C84"/>
    <w:rsid w:val="009A7347"/>
    <w:rsid w:val="009B2C44"/>
    <w:rsid w:val="009B2E95"/>
    <w:rsid w:val="009B31DF"/>
    <w:rsid w:val="009B3F58"/>
    <w:rsid w:val="009B44D9"/>
    <w:rsid w:val="009B6C5A"/>
    <w:rsid w:val="009B75D4"/>
    <w:rsid w:val="009B796A"/>
    <w:rsid w:val="009C47A8"/>
    <w:rsid w:val="009C5A01"/>
    <w:rsid w:val="009C6BEE"/>
    <w:rsid w:val="009D008F"/>
    <w:rsid w:val="009E1E90"/>
    <w:rsid w:val="009E524D"/>
    <w:rsid w:val="009F6192"/>
    <w:rsid w:val="009F61F2"/>
    <w:rsid w:val="00A046B8"/>
    <w:rsid w:val="00A06315"/>
    <w:rsid w:val="00A135C4"/>
    <w:rsid w:val="00A15F48"/>
    <w:rsid w:val="00A165CA"/>
    <w:rsid w:val="00A2298A"/>
    <w:rsid w:val="00A23112"/>
    <w:rsid w:val="00A24E5D"/>
    <w:rsid w:val="00A30926"/>
    <w:rsid w:val="00A3623B"/>
    <w:rsid w:val="00A363A7"/>
    <w:rsid w:val="00A36CE5"/>
    <w:rsid w:val="00A40E23"/>
    <w:rsid w:val="00A414F5"/>
    <w:rsid w:val="00A41F98"/>
    <w:rsid w:val="00A466B9"/>
    <w:rsid w:val="00A46E0F"/>
    <w:rsid w:val="00A47E53"/>
    <w:rsid w:val="00A5057C"/>
    <w:rsid w:val="00A51A77"/>
    <w:rsid w:val="00A55AA5"/>
    <w:rsid w:val="00A613D3"/>
    <w:rsid w:val="00A61FD0"/>
    <w:rsid w:val="00A650F4"/>
    <w:rsid w:val="00A71542"/>
    <w:rsid w:val="00A715B4"/>
    <w:rsid w:val="00A71CF1"/>
    <w:rsid w:val="00A737AF"/>
    <w:rsid w:val="00A80814"/>
    <w:rsid w:val="00A820E0"/>
    <w:rsid w:val="00A828E5"/>
    <w:rsid w:val="00A845EF"/>
    <w:rsid w:val="00A84D4E"/>
    <w:rsid w:val="00A86931"/>
    <w:rsid w:val="00A90FA1"/>
    <w:rsid w:val="00A9242B"/>
    <w:rsid w:val="00A930DF"/>
    <w:rsid w:val="00A9362A"/>
    <w:rsid w:val="00A93712"/>
    <w:rsid w:val="00A96317"/>
    <w:rsid w:val="00AA05B1"/>
    <w:rsid w:val="00AA2512"/>
    <w:rsid w:val="00AA71F7"/>
    <w:rsid w:val="00AA7419"/>
    <w:rsid w:val="00AB07B7"/>
    <w:rsid w:val="00AB0BB7"/>
    <w:rsid w:val="00AB1E4D"/>
    <w:rsid w:val="00AB3121"/>
    <w:rsid w:val="00AB797B"/>
    <w:rsid w:val="00AC1E2C"/>
    <w:rsid w:val="00AC570F"/>
    <w:rsid w:val="00AD3124"/>
    <w:rsid w:val="00AD3A5A"/>
    <w:rsid w:val="00AD3C25"/>
    <w:rsid w:val="00AD6E58"/>
    <w:rsid w:val="00AE49D4"/>
    <w:rsid w:val="00AE540F"/>
    <w:rsid w:val="00AE6968"/>
    <w:rsid w:val="00AF09B0"/>
    <w:rsid w:val="00AF43BC"/>
    <w:rsid w:val="00AF53A7"/>
    <w:rsid w:val="00AF54ED"/>
    <w:rsid w:val="00AF55B9"/>
    <w:rsid w:val="00AF5C48"/>
    <w:rsid w:val="00AF65F4"/>
    <w:rsid w:val="00B04A54"/>
    <w:rsid w:val="00B04CBE"/>
    <w:rsid w:val="00B12748"/>
    <w:rsid w:val="00B16A32"/>
    <w:rsid w:val="00B16C43"/>
    <w:rsid w:val="00B2009D"/>
    <w:rsid w:val="00B214B6"/>
    <w:rsid w:val="00B229DE"/>
    <w:rsid w:val="00B23EF9"/>
    <w:rsid w:val="00B25D8A"/>
    <w:rsid w:val="00B322B8"/>
    <w:rsid w:val="00B33FAA"/>
    <w:rsid w:val="00B35561"/>
    <w:rsid w:val="00B3679B"/>
    <w:rsid w:val="00B412C9"/>
    <w:rsid w:val="00B452AF"/>
    <w:rsid w:val="00B4786E"/>
    <w:rsid w:val="00B5054B"/>
    <w:rsid w:val="00B51BEA"/>
    <w:rsid w:val="00B541FC"/>
    <w:rsid w:val="00B54B06"/>
    <w:rsid w:val="00B55F22"/>
    <w:rsid w:val="00B604E9"/>
    <w:rsid w:val="00B62507"/>
    <w:rsid w:val="00B6481E"/>
    <w:rsid w:val="00B665C6"/>
    <w:rsid w:val="00B73168"/>
    <w:rsid w:val="00B76200"/>
    <w:rsid w:val="00B766AC"/>
    <w:rsid w:val="00B82DDF"/>
    <w:rsid w:val="00B8687B"/>
    <w:rsid w:val="00B86EC6"/>
    <w:rsid w:val="00B90675"/>
    <w:rsid w:val="00B95C50"/>
    <w:rsid w:val="00B97F02"/>
    <w:rsid w:val="00BA0296"/>
    <w:rsid w:val="00BA1D47"/>
    <w:rsid w:val="00BA4FAC"/>
    <w:rsid w:val="00BA5264"/>
    <w:rsid w:val="00BA6294"/>
    <w:rsid w:val="00BA6C73"/>
    <w:rsid w:val="00BB081F"/>
    <w:rsid w:val="00BB7087"/>
    <w:rsid w:val="00BC094F"/>
    <w:rsid w:val="00BC460E"/>
    <w:rsid w:val="00BC5FB4"/>
    <w:rsid w:val="00BC708E"/>
    <w:rsid w:val="00BC79E7"/>
    <w:rsid w:val="00BD1E2D"/>
    <w:rsid w:val="00BE0AE2"/>
    <w:rsid w:val="00BE1825"/>
    <w:rsid w:val="00BE32D8"/>
    <w:rsid w:val="00BE49A5"/>
    <w:rsid w:val="00BE642B"/>
    <w:rsid w:val="00BE6BB9"/>
    <w:rsid w:val="00BE7EEF"/>
    <w:rsid w:val="00BF4933"/>
    <w:rsid w:val="00BF5375"/>
    <w:rsid w:val="00BF650E"/>
    <w:rsid w:val="00BF6E15"/>
    <w:rsid w:val="00BF6F52"/>
    <w:rsid w:val="00BF786F"/>
    <w:rsid w:val="00BF7D83"/>
    <w:rsid w:val="00C0099B"/>
    <w:rsid w:val="00C02D8B"/>
    <w:rsid w:val="00C04BCD"/>
    <w:rsid w:val="00C04E54"/>
    <w:rsid w:val="00C06291"/>
    <w:rsid w:val="00C1004A"/>
    <w:rsid w:val="00C11CE1"/>
    <w:rsid w:val="00C15C78"/>
    <w:rsid w:val="00C2349D"/>
    <w:rsid w:val="00C26ABB"/>
    <w:rsid w:val="00C3761C"/>
    <w:rsid w:val="00C44968"/>
    <w:rsid w:val="00C500EF"/>
    <w:rsid w:val="00C539DA"/>
    <w:rsid w:val="00C541A0"/>
    <w:rsid w:val="00C55CAC"/>
    <w:rsid w:val="00C56A8D"/>
    <w:rsid w:val="00C62E9D"/>
    <w:rsid w:val="00C6461C"/>
    <w:rsid w:val="00C655B8"/>
    <w:rsid w:val="00C669A6"/>
    <w:rsid w:val="00C70540"/>
    <w:rsid w:val="00C7552E"/>
    <w:rsid w:val="00C77E2F"/>
    <w:rsid w:val="00C91DAE"/>
    <w:rsid w:val="00C92A58"/>
    <w:rsid w:val="00C93549"/>
    <w:rsid w:val="00C93A1E"/>
    <w:rsid w:val="00C93CEA"/>
    <w:rsid w:val="00C9482E"/>
    <w:rsid w:val="00C95C20"/>
    <w:rsid w:val="00C96FDD"/>
    <w:rsid w:val="00CA0F0E"/>
    <w:rsid w:val="00CA3125"/>
    <w:rsid w:val="00CA3A3D"/>
    <w:rsid w:val="00CA59D5"/>
    <w:rsid w:val="00CA7130"/>
    <w:rsid w:val="00CB2144"/>
    <w:rsid w:val="00CB3613"/>
    <w:rsid w:val="00CC1984"/>
    <w:rsid w:val="00CC1BBB"/>
    <w:rsid w:val="00CC5BD3"/>
    <w:rsid w:val="00CC627C"/>
    <w:rsid w:val="00CD0241"/>
    <w:rsid w:val="00CD0600"/>
    <w:rsid w:val="00CD51D1"/>
    <w:rsid w:val="00CD5452"/>
    <w:rsid w:val="00CE01CD"/>
    <w:rsid w:val="00CE36C6"/>
    <w:rsid w:val="00CE42E0"/>
    <w:rsid w:val="00CF07DB"/>
    <w:rsid w:val="00CF2164"/>
    <w:rsid w:val="00CF2BE5"/>
    <w:rsid w:val="00CF4887"/>
    <w:rsid w:val="00CF4979"/>
    <w:rsid w:val="00CF6D33"/>
    <w:rsid w:val="00CF7C49"/>
    <w:rsid w:val="00D02196"/>
    <w:rsid w:val="00D11AA0"/>
    <w:rsid w:val="00D20419"/>
    <w:rsid w:val="00D2066F"/>
    <w:rsid w:val="00D23845"/>
    <w:rsid w:val="00D24994"/>
    <w:rsid w:val="00D24ECB"/>
    <w:rsid w:val="00D30AF4"/>
    <w:rsid w:val="00D30BCE"/>
    <w:rsid w:val="00D34E6F"/>
    <w:rsid w:val="00D36869"/>
    <w:rsid w:val="00D4033E"/>
    <w:rsid w:val="00D45BDF"/>
    <w:rsid w:val="00D5043B"/>
    <w:rsid w:val="00D52A10"/>
    <w:rsid w:val="00D535BD"/>
    <w:rsid w:val="00D578D1"/>
    <w:rsid w:val="00D602E0"/>
    <w:rsid w:val="00D63404"/>
    <w:rsid w:val="00D660FF"/>
    <w:rsid w:val="00D67DCB"/>
    <w:rsid w:val="00D72BD9"/>
    <w:rsid w:val="00D77779"/>
    <w:rsid w:val="00D779AB"/>
    <w:rsid w:val="00D81481"/>
    <w:rsid w:val="00D81C45"/>
    <w:rsid w:val="00D83917"/>
    <w:rsid w:val="00D87C98"/>
    <w:rsid w:val="00D91551"/>
    <w:rsid w:val="00D91F2F"/>
    <w:rsid w:val="00D92A71"/>
    <w:rsid w:val="00D92E31"/>
    <w:rsid w:val="00D95C5E"/>
    <w:rsid w:val="00D974DF"/>
    <w:rsid w:val="00D97A4B"/>
    <w:rsid w:val="00DA1602"/>
    <w:rsid w:val="00DA339C"/>
    <w:rsid w:val="00DA573F"/>
    <w:rsid w:val="00DB07EB"/>
    <w:rsid w:val="00DB090B"/>
    <w:rsid w:val="00DB393F"/>
    <w:rsid w:val="00DB4041"/>
    <w:rsid w:val="00DC2E80"/>
    <w:rsid w:val="00DD7C3A"/>
    <w:rsid w:val="00DE0A5D"/>
    <w:rsid w:val="00DE2C87"/>
    <w:rsid w:val="00DE31EA"/>
    <w:rsid w:val="00DF061E"/>
    <w:rsid w:val="00DF16DA"/>
    <w:rsid w:val="00DF4A16"/>
    <w:rsid w:val="00DF5A89"/>
    <w:rsid w:val="00DF685B"/>
    <w:rsid w:val="00E011DA"/>
    <w:rsid w:val="00E03798"/>
    <w:rsid w:val="00E038AB"/>
    <w:rsid w:val="00E114C9"/>
    <w:rsid w:val="00E12647"/>
    <w:rsid w:val="00E12A76"/>
    <w:rsid w:val="00E12C38"/>
    <w:rsid w:val="00E140A3"/>
    <w:rsid w:val="00E206F6"/>
    <w:rsid w:val="00E210AF"/>
    <w:rsid w:val="00E26064"/>
    <w:rsid w:val="00E266E8"/>
    <w:rsid w:val="00E30699"/>
    <w:rsid w:val="00E32CEA"/>
    <w:rsid w:val="00E33A27"/>
    <w:rsid w:val="00E35582"/>
    <w:rsid w:val="00E373D4"/>
    <w:rsid w:val="00E41540"/>
    <w:rsid w:val="00E50FC5"/>
    <w:rsid w:val="00E52BB8"/>
    <w:rsid w:val="00E54BF8"/>
    <w:rsid w:val="00E55B0E"/>
    <w:rsid w:val="00E55F63"/>
    <w:rsid w:val="00E56403"/>
    <w:rsid w:val="00E62DBC"/>
    <w:rsid w:val="00E630D2"/>
    <w:rsid w:val="00E65C58"/>
    <w:rsid w:val="00E6661B"/>
    <w:rsid w:val="00E67D62"/>
    <w:rsid w:val="00E67ECD"/>
    <w:rsid w:val="00E73248"/>
    <w:rsid w:val="00E73610"/>
    <w:rsid w:val="00E777B3"/>
    <w:rsid w:val="00E77D81"/>
    <w:rsid w:val="00E81033"/>
    <w:rsid w:val="00E810C3"/>
    <w:rsid w:val="00E848E7"/>
    <w:rsid w:val="00E84EC5"/>
    <w:rsid w:val="00E859C4"/>
    <w:rsid w:val="00E93577"/>
    <w:rsid w:val="00E94837"/>
    <w:rsid w:val="00E95C79"/>
    <w:rsid w:val="00E9650A"/>
    <w:rsid w:val="00E965BF"/>
    <w:rsid w:val="00EA1E6F"/>
    <w:rsid w:val="00EA3258"/>
    <w:rsid w:val="00EA444E"/>
    <w:rsid w:val="00EA6107"/>
    <w:rsid w:val="00EB1011"/>
    <w:rsid w:val="00EB1AF5"/>
    <w:rsid w:val="00EB2D35"/>
    <w:rsid w:val="00EB3A49"/>
    <w:rsid w:val="00EB4CB2"/>
    <w:rsid w:val="00EB5E48"/>
    <w:rsid w:val="00EC1475"/>
    <w:rsid w:val="00ED52C1"/>
    <w:rsid w:val="00EE05A2"/>
    <w:rsid w:val="00EE102F"/>
    <w:rsid w:val="00EE2F37"/>
    <w:rsid w:val="00EE4FEC"/>
    <w:rsid w:val="00EE6875"/>
    <w:rsid w:val="00EF0218"/>
    <w:rsid w:val="00EF0D9C"/>
    <w:rsid w:val="00EF19A3"/>
    <w:rsid w:val="00EF1FC5"/>
    <w:rsid w:val="00EF22CD"/>
    <w:rsid w:val="00EF4691"/>
    <w:rsid w:val="00EF676C"/>
    <w:rsid w:val="00EF6CF5"/>
    <w:rsid w:val="00F1653A"/>
    <w:rsid w:val="00F168A7"/>
    <w:rsid w:val="00F20CB6"/>
    <w:rsid w:val="00F2155C"/>
    <w:rsid w:val="00F232DC"/>
    <w:rsid w:val="00F23802"/>
    <w:rsid w:val="00F307C5"/>
    <w:rsid w:val="00F31D56"/>
    <w:rsid w:val="00F36B62"/>
    <w:rsid w:val="00F4009A"/>
    <w:rsid w:val="00F40A44"/>
    <w:rsid w:val="00F44025"/>
    <w:rsid w:val="00F460DA"/>
    <w:rsid w:val="00F5091F"/>
    <w:rsid w:val="00F5403D"/>
    <w:rsid w:val="00F54041"/>
    <w:rsid w:val="00F57424"/>
    <w:rsid w:val="00F57718"/>
    <w:rsid w:val="00F57C81"/>
    <w:rsid w:val="00F609C5"/>
    <w:rsid w:val="00F6269E"/>
    <w:rsid w:val="00F6379D"/>
    <w:rsid w:val="00F710DD"/>
    <w:rsid w:val="00F73136"/>
    <w:rsid w:val="00F7354A"/>
    <w:rsid w:val="00F756B5"/>
    <w:rsid w:val="00F75DA8"/>
    <w:rsid w:val="00F75F6B"/>
    <w:rsid w:val="00F76760"/>
    <w:rsid w:val="00F76E63"/>
    <w:rsid w:val="00F80564"/>
    <w:rsid w:val="00F80FD5"/>
    <w:rsid w:val="00F81E38"/>
    <w:rsid w:val="00F81FFA"/>
    <w:rsid w:val="00F86A3D"/>
    <w:rsid w:val="00F86B0D"/>
    <w:rsid w:val="00F86C46"/>
    <w:rsid w:val="00F917C0"/>
    <w:rsid w:val="00F95BC8"/>
    <w:rsid w:val="00F963FF"/>
    <w:rsid w:val="00F9763B"/>
    <w:rsid w:val="00FA5C09"/>
    <w:rsid w:val="00FB4952"/>
    <w:rsid w:val="00FB57CC"/>
    <w:rsid w:val="00FB599C"/>
    <w:rsid w:val="00FC12CC"/>
    <w:rsid w:val="00FC1C17"/>
    <w:rsid w:val="00FC37AC"/>
    <w:rsid w:val="00FC40F2"/>
    <w:rsid w:val="00FC423F"/>
    <w:rsid w:val="00FC6AD5"/>
    <w:rsid w:val="00FD187E"/>
    <w:rsid w:val="00FD192E"/>
    <w:rsid w:val="00FD2708"/>
    <w:rsid w:val="00FD4B1D"/>
    <w:rsid w:val="00FD7CD0"/>
    <w:rsid w:val="00FE1A3A"/>
    <w:rsid w:val="00FE2706"/>
    <w:rsid w:val="00FE39F6"/>
    <w:rsid w:val="00FE7934"/>
    <w:rsid w:val="00FF37F6"/>
    <w:rsid w:val="00FF4ADD"/>
    <w:rsid w:val="06D01FD2"/>
    <w:rsid w:val="0BED48A0"/>
    <w:rsid w:val="0E4E5304"/>
    <w:rsid w:val="10FC4F6D"/>
    <w:rsid w:val="15F20522"/>
    <w:rsid w:val="16492D73"/>
    <w:rsid w:val="17256674"/>
    <w:rsid w:val="177A1952"/>
    <w:rsid w:val="1B244028"/>
    <w:rsid w:val="1B472E2D"/>
    <w:rsid w:val="1E6E37EC"/>
    <w:rsid w:val="1ED85A70"/>
    <w:rsid w:val="21FD4FDB"/>
    <w:rsid w:val="234F1376"/>
    <w:rsid w:val="24A66A6F"/>
    <w:rsid w:val="258B383C"/>
    <w:rsid w:val="27814EF7"/>
    <w:rsid w:val="2AA809EC"/>
    <w:rsid w:val="2C96110F"/>
    <w:rsid w:val="3F1475D7"/>
    <w:rsid w:val="40595BA0"/>
    <w:rsid w:val="4438128F"/>
    <w:rsid w:val="45D514DB"/>
    <w:rsid w:val="4940305A"/>
    <w:rsid w:val="4A03697C"/>
    <w:rsid w:val="58775570"/>
    <w:rsid w:val="5D4635C9"/>
    <w:rsid w:val="646128F1"/>
    <w:rsid w:val="671E273D"/>
    <w:rsid w:val="698B26CE"/>
    <w:rsid w:val="6FA801DB"/>
    <w:rsid w:val="71E42AE1"/>
    <w:rsid w:val="746B4FE2"/>
    <w:rsid w:val="76A661DA"/>
    <w:rsid w:val="76D00247"/>
    <w:rsid w:val="7A6B2F64"/>
    <w:rsid w:val="7B1474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5"/>
    <w:next w:val="1"/>
    <w:link w:val="54"/>
    <w:qFormat/>
    <w:uiPriority w:val="9"/>
    <w:pPr>
      <w:spacing w:before="340" w:after="330" w:line="360" w:lineRule="auto"/>
      <w:jc w:val="center"/>
      <w:outlineLvl w:val="0"/>
    </w:pPr>
    <w:rPr>
      <w:rFonts w:eastAsia="黑体"/>
      <w:kern w:val="44"/>
      <w:szCs w:val="44"/>
    </w:rPr>
  </w:style>
  <w:style w:type="paragraph" w:styleId="7">
    <w:name w:val="heading 2"/>
    <w:basedOn w:val="5"/>
    <w:next w:val="6"/>
    <w:link w:val="51"/>
    <w:qFormat/>
    <w:uiPriority w:val="0"/>
    <w:pPr>
      <w:adjustRightInd w:val="0"/>
      <w:jc w:val="center"/>
      <w:textAlignment w:val="baseline"/>
      <w:outlineLvl w:val="1"/>
    </w:pPr>
    <w:rPr>
      <w:sz w:val="24"/>
      <w:szCs w:val="20"/>
    </w:rPr>
  </w:style>
  <w:style w:type="paragraph" w:styleId="5">
    <w:name w:val="heading 3"/>
    <w:basedOn w:val="6"/>
    <w:next w:val="1"/>
    <w:link w:val="62"/>
    <w:qFormat/>
    <w:uiPriority w:val="9"/>
    <w:pPr>
      <w:spacing w:before="260" w:after="260" w:line="240" w:lineRule="auto"/>
      <w:outlineLvl w:val="2"/>
    </w:pPr>
    <w:rPr>
      <w:rFonts w:ascii="宋体" w:hAnsi="宋体" w:eastAsia="宋体"/>
      <w:szCs w:val="32"/>
    </w:rPr>
  </w:style>
  <w:style w:type="paragraph" w:styleId="6">
    <w:name w:val="heading 4"/>
    <w:basedOn w:val="1"/>
    <w:next w:val="1"/>
    <w:link w:val="56"/>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9"/>
    <w:link w:val="57"/>
    <w:qFormat/>
    <w:uiPriority w:val="0"/>
    <w:pPr>
      <w:keepNext/>
      <w:keepLines/>
      <w:spacing w:before="280" w:after="290" w:line="376" w:lineRule="auto"/>
      <w:outlineLvl w:val="4"/>
    </w:pPr>
    <w:rPr>
      <w:rFonts w:ascii="Times New Roman" w:hAnsi="Times New Roman"/>
      <w:b/>
      <w:kern w:val="0"/>
      <w:sz w:val="28"/>
      <w:szCs w:val="20"/>
    </w:rPr>
  </w:style>
  <w:style w:type="paragraph" w:styleId="10">
    <w:name w:val="heading 6"/>
    <w:basedOn w:val="1"/>
    <w:next w:val="9"/>
    <w:link w:val="58"/>
    <w:qFormat/>
    <w:uiPriority w:val="0"/>
    <w:pPr>
      <w:keepNext/>
      <w:keepLines/>
      <w:spacing w:before="240" w:after="64" w:line="320" w:lineRule="auto"/>
      <w:outlineLvl w:val="5"/>
    </w:pPr>
    <w:rPr>
      <w:rFonts w:ascii="Arial" w:hAnsi="Arial" w:eastAsia="黑体"/>
      <w:b/>
      <w:kern w:val="0"/>
      <w:sz w:val="24"/>
      <w:szCs w:val="20"/>
    </w:rPr>
  </w:style>
  <w:style w:type="paragraph" w:styleId="11">
    <w:name w:val="heading 7"/>
    <w:basedOn w:val="1"/>
    <w:next w:val="9"/>
    <w:link w:val="59"/>
    <w:qFormat/>
    <w:uiPriority w:val="0"/>
    <w:pPr>
      <w:keepNext/>
      <w:keepLines/>
      <w:spacing w:before="240" w:after="64" w:line="320" w:lineRule="auto"/>
      <w:outlineLvl w:val="6"/>
    </w:pPr>
    <w:rPr>
      <w:rFonts w:ascii="Times New Roman" w:hAnsi="Times New Roman"/>
      <w:b/>
      <w:kern w:val="0"/>
      <w:sz w:val="24"/>
      <w:szCs w:val="20"/>
    </w:rPr>
  </w:style>
  <w:style w:type="paragraph" w:styleId="12">
    <w:name w:val="heading 8"/>
    <w:basedOn w:val="1"/>
    <w:next w:val="9"/>
    <w:link w:val="60"/>
    <w:qFormat/>
    <w:uiPriority w:val="0"/>
    <w:pPr>
      <w:keepNext/>
      <w:keepLines/>
      <w:spacing w:before="240" w:after="64" w:line="320" w:lineRule="auto"/>
      <w:outlineLvl w:val="7"/>
    </w:pPr>
    <w:rPr>
      <w:rFonts w:ascii="Arial" w:hAnsi="Arial" w:eastAsia="黑体"/>
      <w:kern w:val="0"/>
      <w:sz w:val="24"/>
      <w:szCs w:val="20"/>
    </w:rPr>
  </w:style>
  <w:style w:type="paragraph" w:styleId="13">
    <w:name w:val="heading 9"/>
    <w:basedOn w:val="1"/>
    <w:next w:val="9"/>
    <w:link w:val="61"/>
    <w:qFormat/>
    <w:uiPriority w:val="0"/>
    <w:pPr>
      <w:keepNext/>
      <w:keepLines/>
      <w:spacing w:before="240" w:after="64" w:line="320" w:lineRule="auto"/>
      <w:outlineLvl w:val="8"/>
    </w:pPr>
    <w:rPr>
      <w:rFonts w:ascii="Arial" w:hAnsi="Arial" w:eastAsia="黑体"/>
      <w:kern w:val="0"/>
      <w:sz w:val="20"/>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113"/>
    <w:qFormat/>
    <w:uiPriority w:val="0"/>
    <w:rPr>
      <w:rFonts w:ascii="宋体" w:hAnsi="Courier New"/>
      <w:kern w:val="0"/>
      <w:sz w:val="20"/>
      <w:szCs w:val="20"/>
    </w:rPr>
  </w:style>
  <w:style w:type="paragraph" w:styleId="3">
    <w:name w:val="index 8"/>
    <w:basedOn w:val="1"/>
    <w:next w:val="1"/>
    <w:unhideWhenUsed/>
    <w:qFormat/>
    <w:uiPriority w:val="99"/>
    <w:pPr>
      <w:ind w:left="2940"/>
    </w:pPr>
  </w:style>
  <w:style w:type="paragraph" w:styleId="9">
    <w:name w:val="Normal Indent"/>
    <w:basedOn w:val="1"/>
    <w:link w:val="74"/>
    <w:qFormat/>
    <w:uiPriority w:val="0"/>
    <w:pPr>
      <w:ind w:firstLine="420"/>
    </w:pPr>
    <w:rPr>
      <w:rFonts w:ascii="Times New Roman" w:hAnsi="Times New Roman"/>
      <w:kern w:val="0"/>
      <w:sz w:val="20"/>
      <w:szCs w:val="20"/>
    </w:rPr>
  </w:style>
  <w:style w:type="paragraph" w:styleId="14">
    <w:name w:val="toc 7"/>
    <w:basedOn w:val="1"/>
    <w:next w:val="1"/>
    <w:semiHidden/>
    <w:qFormat/>
    <w:uiPriority w:val="0"/>
    <w:pPr>
      <w:ind w:left="1260"/>
      <w:jc w:val="left"/>
    </w:pPr>
    <w:rPr>
      <w:rFonts w:ascii="Times New Roman" w:hAnsi="Times New Roman"/>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tabs>
        <w:tab w:val="left" w:pos="360"/>
      </w:tabs>
      <w:ind w:left="360" w:hanging="360"/>
    </w:pPr>
    <w:rPr>
      <w:rFonts w:ascii="Times New Roman" w:hAnsi="Times New Roman"/>
      <w:szCs w:val="20"/>
    </w:rPr>
  </w:style>
  <w:style w:type="paragraph" w:styleId="17">
    <w:name w:val="Document Map"/>
    <w:basedOn w:val="1"/>
    <w:link w:val="114"/>
    <w:semiHidden/>
    <w:qFormat/>
    <w:uiPriority w:val="0"/>
    <w:pPr>
      <w:shd w:val="clear" w:color="auto" w:fill="000080"/>
    </w:pPr>
    <w:rPr>
      <w:rFonts w:ascii="Times New Roman" w:hAnsi="Times New Roman"/>
      <w:kern w:val="0"/>
      <w:sz w:val="20"/>
      <w:szCs w:val="24"/>
    </w:rPr>
  </w:style>
  <w:style w:type="paragraph" w:styleId="18">
    <w:name w:val="annotation text"/>
    <w:basedOn w:val="1"/>
    <w:link w:val="118"/>
    <w:qFormat/>
    <w:uiPriority w:val="0"/>
    <w:pPr>
      <w:autoSpaceDE w:val="0"/>
      <w:autoSpaceDN w:val="0"/>
      <w:adjustRightInd w:val="0"/>
      <w:jc w:val="left"/>
      <w:textAlignment w:val="baseline"/>
    </w:pPr>
    <w:rPr>
      <w:rFonts w:ascii="宋体" w:hAnsi="Times New Roman"/>
      <w:kern w:val="0"/>
      <w:sz w:val="34"/>
      <w:szCs w:val="20"/>
    </w:rPr>
  </w:style>
  <w:style w:type="paragraph" w:styleId="19">
    <w:name w:val="Body Text 3"/>
    <w:basedOn w:val="1"/>
    <w:link w:val="112"/>
    <w:qFormat/>
    <w:uiPriority w:val="0"/>
    <w:pPr>
      <w:spacing w:after="120"/>
    </w:pPr>
    <w:rPr>
      <w:rFonts w:ascii="Times New Roman" w:hAnsi="Times New Roman"/>
      <w:kern w:val="0"/>
      <w:sz w:val="16"/>
      <w:szCs w:val="16"/>
    </w:rPr>
  </w:style>
  <w:style w:type="paragraph" w:styleId="20">
    <w:name w:val="Body Text"/>
    <w:basedOn w:val="1"/>
    <w:next w:val="1"/>
    <w:link w:val="116"/>
    <w:qFormat/>
    <w:uiPriority w:val="0"/>
    <w:pPr>
      <w:spacing w:line="360" w:lineRule="auto"/>
    </w:pPr>
    <w:rPr>
      <w:rFonts w:ascii="Times New Roman" w:hAnsi="Times New Roman"/>
      <w:b/>
      <w:bCs/>
      <w:kern w:val="0"/>
      <w:sz w:val="24"/>
      <w:szCs w:val="24"/>
    </w:rPr>
  </w:style>
  <w:style w:type="paragraph" w:styleId="21">
    <w:name w:val="Body Text Indent"/>
    <w:basedOn w:val="1"/>
    <w:link w:val="117"/>
    <w:qFormat/>
    <w:uiPriority w:val="0"/>
    <w:pPr>
      <w:spacing w:line="360" w:lineRule="auto"/>
      <w:ind w:firstLine="420" w:firstLineChars="200"/>
    </w:pPr>
    <w:rPr>
      <w:rFonts w:ascii="Times New Roman" w:hAnsi="Times New Roman"/>
      <w:kern w:val="0"/>
      <w:sz w:val="20"/>
      <w:szCs w:val="24"/>
    </w:rPr>
  </w:style>
  <w:style w:type="paragraph" w:styleId="22">
    <w:name w:val="toc 5"/>
    <w:basedOn w:val="1"/>
    <w:next w:val="1"/>
    <w:semiHidden/>
    <w:qFormat/>
    <w:uiPriority w:val="0"/>
    <w:pPr>
      <w:ind w:left="840"/>
      <w:jc w:val="left"/>
    </w:pPr>
    <w:rPr>
      <w:rFonts w:ascii="Times New Roman" w:hAnsi="Times New Roman"/>
      <w:szCs w:val="21"/>
    </w:rPr>
  </w:style>
  <w:style w:type="paragraph" w:styleId="23">
    <w:name w:val="toc 3"/>
    <w:basedOn w:val="1"/>
    <w:next w:val="1"/>
    <w:semiHidden/>
    <w:qFormat/>
    <w:uiPriority w:val="0"/>
    <w:pPr>
      <w:ind w:left="420"/>
      <w:jc w:val="left"/>
    </w:pPr>
    <w:rPr>
      <w:rFonts w:ascii="Times New Roman" w:hAnsi="Times New Roman"/>
      <w:i/>
      <w:iCs/>
      <w:szCs w:val="24"/>
    </w:rPr>
  </w:style>
  <w:style w:type="paragraph" w:styleId="24">
    <w:name w:val="toc 8"/>
    <w:basedOn w:val="1"/>
    <w:next w:val="1"/>
    <w:semiHidden/>
    <w:qFormat/>
    <w:uiPriority w:val="0"/>
    <w:pPr>
      <w:ind w:left="1470"/>
      <w:jc w:val="left"/>
    </w:pPr>
    <w:rPr>
      <w:rFonts w:ascii="Times New Roman" w:hAnsi="Times New Roman"/>
      <w:szCs w:val="21"/>
    </w:rPr>
  </w:style>
  <w:style w:type="paragraph" w:styleId="25">
    <w:name w:val="Date"/>
    <w:basedOn w:val="1"/>
    <w:next w:val="1"/>
    <w:link w:val="115"/>
    <w:qFormat/>
    <w:uiPriority w:val="0"/>
    <w:rPr>
      <w:rFonts w:ascii="宋体" w:hAnsi="Courier New"/>
      <w:kern w:val="0"/>
      <w:sz w:val="32"/>
      <w:szCs w:val="20"/>
    </w:rPr>
  </w:style>
  <w:style w:type="paragraph" w:styleId="26">
    <w:name w:val="Body Text Indent 2"/>
    <w:basedOn w:val="1"/>
    <w:link w:val="120"/>
    <w:qFormat/>
    <w:uiPriority w:val="0"/>
    <w:pPr>
      <w:spacing w:beforeLines="50" w:afterLines="50" w:line="120" w:lineRule="auto"/>
      <w:ind w:firstLine="840" w:firstLineChars="400"/>
      <w:jc w:val="left"/>
    </w:pPr>
    <w:rPr>
      <w:rFonts w:ascii="宋体" w:hAnsi="宋体"/>
      <w:kern w:val="0"/>
      <w:sz w:val="20"/>
      <w:szCs w:val="24"/>
    </w:rPr>
  </w:style>
  <w:style w:type="paragraph" w:styleId="27">
    <w:name w:val="Balloon Text"/>
    <w:basedOn w:val="1"/>
    <w:link w:val="122"/>
    <w:qFormat/>
    <w:uiPriority w:val="99"/>
    <w:rPr>
      <w:rFonts w:ascii="Times New Roman" w:hAnsi="Times New Roman"/>
      <w:kern w:val="0"/>
      <w:sz w:val="18"/>
      <w:szCs w:val="18"/>
    </w:rPr>
  </w:style>
  <w:style w:type="paragraph" w:styleId="28">
    <w:name w:val="footer"/>
    <w:basedOn w:val="1"/>
    <w:link w:val="53"/>
    <w:unhideWhenUsed/>
    <w:qFormat/>
    <w:uiPriority w:val="99"/>
    <w:pPr>
      <w:tabs>
        <w:tab w:val="center" w:pos="4153"/>
        <w:tab w:val="right" w:pos="8306"/>
      </w:tabs>
      <w:snapToGrid w:val="0"/>
      <w:jc w:val="left"/>
    </w:pPr>
    <w:rPr>
      <w:sz w:val="18"/>
      <w:szCs w:val="18"/>
    </w:rPr>
  </w:style>
  <w:style w:type="paragraph" w:styleId="29">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spacing w:before="120" w:after="120"/>
      <w:jc w:val="left"/>
    </w:pPr>
    <w:rPr>
      <w:rFonts w:ascii="Times New Roman" w:hAnsi="Times New Roman"/>
      <w:b/>
      <w:bCs/>
      <w:caps/>
      <w:szCs w:val="24"/>
    </w:rPr>
  </w:style>
  <w:style w:type="paragraph" w:styleId="31">
    <w:name w:val="toc 4"/>
    <w:basedOn w:val="1"/>
    <w:next w:val="1"/>
    <w:semiHidden/>
    <w:qFormat/>
    <w:uiPriority w:val="0"/>
    <w:pPr>
      <w:ind w:left="630"/>
      <w:jc w:val="left"/>
    </w:pPr>
    <w:rPr>
      <w:rFonts w:ascii="Times New Roman" w:hAnsi="Times New Roman"/>
      <w:szCs w:val="21"/>
    </w:rPr>
  </w:style>
  <w:style w:type="paragraph" w:styleId="32">
    <w:name w:val="toc 6"/>
    <w:basedOn w:val="1"/>
    <w:next w:val="1"/>
    <w:semiHidden/>
    <w:qFormat/>
    <w:uiPriority w:val="0"/>
    <w:pPr>
      <w:ind w:left="1050"/>
      <w:jc w:val="left"/>
    </w:pPr>
    <w:rPr>
      <w:rFonts w:ascii="Times New Roman" w:hAnsi="Times New Roman"/>
      <w:szCs w:val="21"/>
    </w:rPr>
  </w:style>
  <w:style w:type="paragraph" w:styleId="33">
    <w:name w:val="Body Text Indent 3"/>
    <w:basedOn w:val="1"/>
    <w:link w:val="123"/>
    <w:qFormat/>
    <w:uiPriority w:val="0"/>
    <w:pPr>
      <w:spacing w:line="360" w:lineRule="auto"/>
      <w:ind w:firstLine="482" w:firstLineChars="200"/>
    </w:pPr>
    <w:rPr>
      <w:rFonts w:ascii="宋体" w:hAnsi="Times New Roman"/>
      <w:b/>
      <w:bCs/>
      <w:kern w:val="0"/>
      <w:sz w:val="24"/>
      <w:szCs w:val="24"/>
    </w:rPr>
  </w:style>
  <w:style w:type="paragraph" w:styleId="34">
    <w:name w:val="toc 2"/>
    <w:basedOn w:val="1"/>
    <w:next w:val="1"/>
    <w:qFormat/>
    <w:uiPriority w:val="0"/>
    <w:pPr>
      <w:tabs>
        <w:tab w:val="right" w:leader="dot" w:pos="8296"/>
      </w:tabs>
      <w:ind w:left="210"/>
      <w:jc w:val="left"/>
    </w:pPr>
    <w:rPr>
      <w:rFonts w:ascii="Times New Roman" w:hAnsi="Times New Roman"/>
      <w:smallCaps/>
      <w:szCs w:val="24"/>
    </w:rPr>
  </w:style>
  <w:style w:type="paragraph" w:styleId="35">
    <w:name w:val="toc 9"/>
    <w:basedOn w:val="1"/>
    <w:next w:val="1"/>
    <w:semiHidden/>
    <w:qFormat/>
    <w:uiPriority w:val="0"/>
    <w:pPr>
      <w:ind w:left="1680"/>
      <w:jc w:val="left"/>
    </w:pPr>
    <w:rPr>
      <w:rFonts w:ascii="Times New Roman" w:hAnsi="Times New Roman"/>
      <w:szCs w:val="21"/>
    </w:rPr>
  </w:style>
  <w:style w:type="paragraph" w:styleId="36">
    <w:name w:val="Body Text 2"/>
    <w:basedOn w:val="1"/>
    <w:link w:val="121"/>
    <w:qFormat/>
    <w:uiPriority w:val="0"/>
    <w:pPr>
      <w:spacing w:line="360" w:lineRule="auto"/>
    </w:pPr>
    <w:rPr>
      <w:rFonts w:ascii="Times New Roman" w:hAnsi="Times New Roman"/>
      <w:kern w:val="0"/>
      <w:sz w:val="24"/>
      <w:szCs w:val="24"/>
    </w:rPr>
  </w:style>
  <w:style w:type="paragraph" w:styleId="37">
    <w:name w:val="HTML Preformatted"/>
    <w:basedOn w:val="1"/>
    <w:link w:val="1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0">
    <w:name w:val="Title"/>
    <w:basedOn w:val="1"/>
    <w:link w:val="124"/>
    <w:qFormat/>
    <w:uiPriority w:val="0"/>
    <w:pPr>
      <w:spacing w:before="240" w:after="60"/>
      <w:jc w:val="center"/>
      <w:outlineLvl w:val="0"/>
    </w:pPr>
    <w:rPr>
      <w:rFonts w:ascii="Arial" w:hAnsi="Arial" w:eastAsia="隶书"/>
      <w:b/>
      <w:bCs/>
      <w:kern w:val="0"/>
      <w:sz w:val="32"/>
      <w:szCs w:val="32"/>
    </w:rPr>
  </w:style>
  <w:style w:type="paragraph" w:styleId="41">
    <w:name w:val="annotation subject"/>
    <w:basedOn w:val="18"/>
    <w:next w:val="18"/>
    <w:link w:val="125"/>
    <w:qFormat/>
    <w:uiPriority w:val="99"/>
    <w:pPr>
      <w:autoSpaceDE/>
      <w:autoSpaceDN/>
      <w:adjustRightInd/>
      <w:textAlignment w:val="auto"/>
    </w:pPr>
    <w:rPr>
      <w:rFonts w:ascii="Times New Roman"/>
      <w:b/>
      <w:bCs/>
      <w:szCs w:val="24"/>
    </w:rPr>
  </w:style>
  <w:style w:type="paragraph" w:styleId="42">
    <w:name w:val="Body Text First Indent"/>
    <w:basedOn w:val="20"/>
    <w:link w:val="126"/>
    <w:qFormat/>
    <w:uiPriority w:val="0"/>
    <w:pPr>
      <w:spacing w:after="120" w:line="240" w:lineRule="auto"/>
      <w:ind w:firstLine="420" w:firstLineChars="100"/>
    </w:pPr>
    <w:rPr>
      <w:sz w:val="20"/>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22"/>
    <w:rPr>
      <w:b/>
      <w:bCs/>
    </w:rPr>
  </w:style>
  <w:style w:type="character" w:styleId="47">
    <w:name w:val="page number"/>
    <w:basedOn w:val="45"/>
    <w:qFormat/>
    <w:uiPriority w:val="0"/>
  </w:style>
  <w:style w:type="character" w:styleId="48">
    <w:name w:val="FollowedHyperlink"/>
    <w:basedOn w:val="45"/>
    <w:unhideWhenUsed/>
    <w:qFormat/>
    <w:uiPriority w:val="99"/>
    <w:rPr>
      <w:color w:val="800080"/>
      <w:u w:val="single"/>
    </w:rPr>
  </w:style>
  <w:style w:type="character" w:styleId="49">
    <w:name w:val="Hyperlink"/>
    <w:qFormat/>
    <w:uiPriority w:val="0"/>
    <w:rPr>
      <w:color w:val="0000FF"/>
      <w:u w:val="single"/>
    </w:rPr>
  </w:style>
  <w:style w:type="character" w:styleId="50">
    <w:name w:val="annotation reference"/>
    <w:qFormat/>
    <w:uiPriority w:val="0"/>
    <w:rPr>
      <w:sz w:val="21"/>
      <w:szCs w:val="21"/>
    </w:rPr>
  </w:style>
  <w:style w:type="character" w:customStyle="1" w:styleId="51">
    <w:name w:val="标题 2 Char"/>
    <w:basedOn w:val="45"/>
    <w:link w:val="7"/>
    <w:qFormat/>
    <w:uiPriority w:val="0"/>
    <w:rPr>
      <w:rFonts w:ascii="宋体" w:hAnsi="宋体" w:eastAsia="宋体" w:cs="Times New Roman"/>
      <w:b/>
      <w:bCs/>
      <w:kern w:val="0"/>
      <w:sz w:val="24"/>
      <w:szCs w:val="20"/>
    </w:rPr>
  </w:style>
  <w:style w:type="character" w:customStyle="1" w:styleId="52">
    <w:name w:val="页眉 Char"/>
    <w:basedOn w:val="45"/>
    <w:link w:val="29"/>
    <w:qFormat/>
    <w:uiPriority w:val="99"/>
    <w:rPr>
      <w:sz w:val="18"/>
      <w:szCs w:val="18"/>
    </w:rPr>
  </w:style>
  <w:style w:type="character" w:customStyle="1" w:styleId="53">
    <w:name w:val="页脚 Char"/>
    <w:basedOn w:val="45"/>
    <w:link w:val="28"/>
    <w:qFormat/>
    <w:uiPriority w:val="99"/>
    <w:rPr>
      <w:sz w:val="18"/>
      <w:szCs w:val="18"/>
    </w:rPr>
  </w:style>
  <w:style w:type="character" w:customStyle="1" w:styleId="54">
    <w:name w:val="标题 1 Char"/>
    <w:basedOn w:val="45"/>
    <w:link w:val="4"/>
    <w:qFormat/>
    <w:uiPriority w:val="9"/>
    <w:rPr>
      <w:rFonts w:ascii="宋体" w:hAnsi="宋体" w:eastAsia="黑体" w:cs="Times New Roman"/>
      <w:b/>
      <w:bCs/>
      <w:kern w:val="44"/>
      <w:sz w:val="28"/>
      <w:szCs w:val="44"/>
    </w:rPr>
  </w:style>
  <w:style w:type="character" w:customStyle="1" w:styleId="55">
    <w:name w:val="标题 3 Char"/>
    <w:basedOn w:val="45"/>
    <w:link w:val="5"/>
    <w:qFormat/>
    <w:uiPriority w:val="9"/>
    <w:rPr>
      <w:rFonts w:ascii="Calibri" w:hAnsi="Calibri" w:eastAsia="宋体" w:cs="Times New Roman"/>
      <w:b/>
      <w:bCs/>
      <w:sz w:val="32"/>
      <w:szCs w:val="32"/>
    </w:rPr>
  </w:style>
  <w:style w:type="character" w:customStyle="1" w:styleId="56">
    <w:name w:val="标题 4 Char"/>
    <w:basedOn w:val="45"/>
    <w:link w:val="6"/>
    <w:qFormat/>
    <w:uiPriority w:val="0"/>
    <w:rPr>
      <w:rFonts w:ascii="Arial" w:hAnsi="Arial" w:eastAsia="黑体" w:cs="Times New Roman"/>
      <w:b/>
      <w:bCs/>
      <w:kern w:val="0"/>
      <w:sz w:val="28"/>
      <w:szCs w:val="28"/>
    </w:rPr>
  </w:style>
  <w:style w:type="character" w:customStyle="1" w:styleId="57">
    <w:name w:val="标题 5 Char"/>
    <w:basedOn w:val="45"/>
    <w:link w:val="8"/>
    <w:qFormat/>
    <w:uiPriority w:val="0"/>
    <w:rPr>
      <w:rFonts w:ascii="Times New Roman" w:hAnsi="Times New Roman" w:eastAsia="宋体" w:cs="Times New Roman"/>
      <w:b/>
      <w:kern w:val="0"/>
      <w:sz w:val="28"/>
      <w:szCs w:val="20"/>
    </w:rPr>
  </w:style>
  <w:style w:type="character" w:customStyle="1" w:styleId="58">
    <w:name w:val="标题 6 Char"/>
    <w:basedOn w:val="45"/>
    <w:link w:val="10"/>
    <w:qFormat/>
    <w:uiPriority w:val="0"/>
    <w:rPr>
      <w:rFonts w:ascii="Arial" w:hAnsi="Arial" w:eastAsia="黑体" w:cs="Times New Roman"/>
      <w:b/>
      <w:kern w:val="0"/>
      <w:sz w:val="24"/>
      <w:szCs w:val="20"/>
    </w:rPr>
  </w:style>
  <w:style w:type="character" w:customStyle="1" w:styleId="59">
    <w:name w:val="标题 7 Char"/>
    <w:basedOn w:val="45"/>
    <w:link w:val="11"/>
    <w:qFormat/>
    <w:uiPriority w:val="0"/>
    <w:rPr>
      <w:rFonts w:ascii="Times New Roman" w:hAnsi="Times New Roman" w:eastAsia="宋体" w:cs="Times New Roman"/>
      <w:b/>
      <w:kern w:val="0"/>
      <w:sz w:val="24"/>
      <w:szCs w:val="20"/>
    </w:rPr>
  </w:style>
  <w:style w:type="character" w:customStyle="1" w:styleId="60">
    <w:name w:val="标题 8 Char"/>
    <w:basedOn w:val="45"/>
    <w:link w:val="12"/>
    <w:qFormat/>
    <w:uiPriority w:val="0"/>
    <w:rPr>
      <w:rFonts w:ascii="Arial" w:hAnsi="Arial" w:eastAsia="黑体" w:cs="Times New Roman"/>
      <w:kern w:val="0"/>
      <w:sz w:val="24"/>
      <w:szCs w:val="20"/>
    </w:rPr>
  </w:style>
  <w:style w:type="character" w:customStyle="1" w:styleId="61">
    <w:name w:val="标题 9 Char"/>
    <w:basedOn w:val="45"/>
    <w:link w:val="13"/>
    <w:qFormat/>
    <w:uiPriority w:val="0"/>
    <w:rPr>
      <w:rFonts w:ascii="Arial" w:hAnsi="Arial" w:eastAsia="黑体" w:cs="Times New Roman"/>
      <w:kern w:val="0"/>
      <w:sz w:val="20"/>
      <w:szCs w:val="20"/>
    </w:rPr>
  </w:style>
  <w:style w:type="character" w:customStyle="1" w:styleId="62">
    <w:name w:val="标题 3 Char1"/>
    <w:link w:val="5"/>
    <w:qFormat/>
    <w:uiPriority w:val="0"/>
    <w:rPr>
      <w:rFonts w:ascii="宋体" w:hAnsi="宋体" w:eastAsia="宋体" w:cs="Times New Roman"/>
      <w:b/>
      <w:bCs/>
      <w:kern w:val="0"/>
      <w:sz w:val="28"/>
      <w:szCs w:val="32"/>
    </w:rPr>
  </w:style>
  <w:style w:type="character" w:customStyle="1" w:styleId="63">
    <w:name w:val="--规划正文 Char Char"/>
    <w:qFormat/>
    <w:uiPriority w:val="0"/>
    <w:rPr>
      <w:rFonts w:eastAsia="宋体"/>
      <w:kern w:val="2"/>
      <w:sz w:val="24"/>
      <w:szCs w:val="24"/>
      <w:lang w:val="en-US" w:eastAsia="zh-CN" w:bidi="ar-SA"/>
    </w:rPr>
  </w:style>
  <w:style w:type="character" w:customStyle="1" w:styleId="64">
    <w:name w:val="grame"/>
    <w:basedOn w:val="45"/>
    <w:qFormat/>
    <w:uiPriority w:val="0"/>
  </w:style>
  <w:style w:type="character" w:customStyle="1" w:styleId="65">
    <w:name w:val="font"/>
    <w:basedOn w:val="45"/>
    <w:qFormat/>
    <w:uiPriority w:val="0"/>
  </w:style>
  <w:style w:type="character" w:customStyle="1" w:styleId="66">
    <w:name w:val="font2"/>
    <w:basedOn w:val="45"/>
    <w:qFormat/>
    <w:uiPriority w:val="0"/>
  </w:style>
  <w:style w:type="character" w:customStyle="1" w:styleId="67">
    <w:name w:val="unnamed4"/>
    <w:basedOn w:val="45"/>
    <w:qFormat/>
    <w:uiPriority w:val="0"/>
  </w:style>
  <w:style w:type="character" w:customStyle="1" w:styleId="68">
    <w:name w:val="样式 小三 加粗"/>
    <w:qFormat/>
    <w:uiPriority w:val="0"/>
    <w:rPr>
      <w:rFonts w:eastAsia="宋体"/>
      <w:b/>
      <w:bCs/>
      <w:sz w:val="32"/>
    </w:rPr>
  </w:style>
  <w:style w:type="character" w:customStyle="1" w:styleId="69">
    <w:name w:val="z-窗体顶端 Char"/>
    <w:basedOn w:val="45"/>
    <w:qFormat/>
    <w:uiPriority w:val="0"/>
    <w:rPr>
      <w:rFonts w:ascii="Arial" w:hAnsi="Arial" w:eastAsia="宋体" w:cs="Times New Roman"/>
      <w:vanish/>
      <w:kern w:val="0"/>
      <w:sz w:val="16"/>
      <w:szCs w:val="16"/>
      <w:lang w:val="en-US" w:eastAsia="zh-CN"/>
    </w:rPr>
  </w:style>
  <w:style w:type="paragraph" w:customStyle="1" w:styleId="70">
    <w:name w:val="z-窗体顶端1"/>
    <w:basedOn w:val="1"/>
    <w:next w:val="1"/>
    <w:link w:val="180"/>
    <w:qFormat/>
    <w:uiPriority w:val="0"/>
    <w:pPr>
      <w:widowControl/>
      <w:pBdr>
        <w:bottom w:val="single" w:color="auto" w:sz="6" w:space="1"/>
      </w:pBdr>
      <w:jc w:val="center"/>
    </w:pPr>
    <w:rPr>
      <w:rFonts w:ascii="Arial" w:hAnsi="Arial"/>
      <w:vanish/>
      <w:kern w:val="0"/>
      <w:sz w:val="16"/>
      <w:szCs w:val="16"/>
    </w:rPr>
  </w:style>
  <w:style w:type="character" w:customStyle="1" w:styleId="71">
    <w:name w:val="批注文字 Char"/>
    <w:basedOn w:val="45"/>
    <w:link w:val="18"/>
    <w:qFormat/>
    <w:uiPriority w:val="0"/>
    <w:rPr>
      <w:rFonts w:ascii="宋体" w:hAnsi="Times New Roman" w:eastAsia="宋体" w:cs="Times New Roman"/>
      <w:kern w:val="0"/>
      <w:sz w:val="34"/>
      <w:szCs w:val="20"/>
    </w:rPr>
  </w:style>
  <w:style w:type="character" w:customStyle="1" w:styleId="72">
    <w:name w:val="标题 Char"/>
    <w:basedOn w:val="45"/>
    <w:link w:val="40"/>
    <w:qFormat/>
    <w:uiPriority w:val="0"/>
    <w:rPr>
      <w:rFonts w:ascii="Arial" w:hAnsi="Arial" w:eastAsia="隶书" w:cs="Times New Roman"/>
      <w:b/>
      <w:bCs/>
      <w:kern w:val="0"/>
      <w:sz w:val="32"/>
      <w:szCs w:val="32"/>
    </w:rPr>
  </w:style>
  <w:style w:type="character" w:customStyle="1" w:styleId="73">
    <w:name w:val="正文文本 Char"/>
    <w:basedOn w:val="45"/>
    <w:semiHidden/>
    <w:qFormat/>
    <w:uiPriority w:val="99"/>
    <w:rPr>
      <w:rFonts w:ascii="Calibri" w:hAnsi="Calibri" w:eastAsia="宋体" w:cs="Times New Roman"/>
    </w:rPr>
  </w:style>
  <w:style w:type="character" w:customStyle="1" w:styleId="74">
    <w:name w:val="正文缩进 Char"/>
    <w:link w:val="9"/>
    <w:qFormat/>
    <w:uiPriority w:val="0"/>
    <w:rPr>
      <w:rFonts w:ascii="Times New Roman" w:hAnsi="Times New Roman" w:eastAsia="宋体" w:cs="Times New Roman"/>
      <w:kern w:val="0"/>
      <w:sz w:val="20"/>
      <w:szCs w:val="20"/>
    </w:rPr>
  </w:style>
  <w:style w:type="character" w:customStyle="1" w:styleId="75">
    <w:name w:val="日期 Char"/>
    <w:basedOn w:val="45"/>
    <w:link w:val="25"/>
    <w:qFormat/>
    <w:uiPriority w:val="0"/>
    <w:rPr>
      <w:rFonts w:ascii="宋体" w:hAnsi="Courier New" w:eastAsia="宋体" w:cs="Times New Roman"/>
      <w:kern w:val="0"/>
      <w:sz w:val="32"/>
      <w:szCs w:val="20"/>
    </w:rPr>
  </w:style>
  <w:style w:type="character" w:customStyle="1" w:styleId="76">
    <w:name w:val="正文文字首行缩进 Char"/>
    <w:qFormat/>
    <w:uiPriority w:val="0"/>
    <w:rPr>
      <w:kern w:val="2"/>
      <w:sz w:val="21"/>
      <w:szCs w:val="24"/>
    </w:rPr>
  </w:style>
  <w:style w:type="character" w:customStyle="1" w:styleId="77">
    <w:name w:val="unnamed3"/>
    <w:basedOn w:val="45"/>
    <w:qFormat/>
    <w:uiPriority w:val="0"/>
  </w:style>
  <w:style w:type="character" w:customStyle="1" w:styleId="78">
    <w:name w:val="批注主题 Char"/>
    <w:basedOn w:val="71"/>
    <w:link w:val="41"/>
    <w:qFormat/>
    <w:uiPriority w:val="99"/>
    <w:rPr>
      <w:rFonts w:ascii="Times New Roman"/>
      <w:b/>
      <w:bCs/>
      <w:szCs w:val="24"/>
    </w:rPr>
  </w:style>
  <w:style w:type="character" w:customStyle="1" w:styleId="79">
    <w:name w:val="gray6"/>
    <w:basedOn w:val="45"/>
    <w:qFormat/>
    <w:uiPriority w:val="0"/>
  </w:style>
  <w:style w:type="character" w:customStyle="1" w:styleId="80">
    <w:name w:val="纯文本 Char"/>
    <w:basedOn w:val="45"/>
    <w:link w:val="2"/>
    <w:qFormat/>
    <w:uiPriority w:val="0"/>
    <w:rPr>
      <w:rFonts w:ascii="宋体" w:hAnsi="Courier New" w:eastAsia="宋体" w:cs="Times New Roman"/>
      <w:kern w:val="0"/>
      <w:sz w:val="20"/>
      <w:szCs w:val="20"/>
    </w:rPr>
  </w:style>
  <w:style w:type="character" w:customStyle="1" w:styleId="81">
    <w:name w:val="正文文本缩进 Char"/>
    <w:basedOn w:val="45"/>
    <w:link w:val="21"/>
    <w:qFormat/>
    <w:uiPriority w:val="0"/>
    <w:rPr>
      <w:rFonts w:ascii="Times New Roman" w:hAnsi="Times New Roman" w:eastAsia="宋体" w:cs="Times New Roman"/>
      <w:kern w:val="0"/>
      <w:sz w:val="20"/>
      <w:szCs w:val="24"/>
    </w:rPr>
  </w:style>
  <w:style w:type="character" w:customStyle="1" w:styleId="82">
    <w:name w:val="正文文本 2 Char"/>
    <w:basedOn w:val="45"/>
    <w:link w:val="36"/>
    <w:qFormat/>
    <w:uiPriority w:val="0"/>
    <w:rPr>
      <w:rFonts w:ascii="Times New Roman" w:hAnsi="Times New Roman" w:eastAsia="宋体" w:cs="Times New Roman"/>
      <w:kern w:val="0"/>
      <w:sz w:val="24"/>
      <w:szCs w:val="24"/>
    </w:rPr>
  </w:style>
  <w:style w:type="character" w:customStyle="1" w:styleId="83">
    <w:name w:val="标题 3 Char Char"/>
    <w:qFormat/>
    <w:uiPriority w:val="0"/>
    <w:rPr>
      <w:rFonts w:eastAsia="宋体"/>
      <w:b/>
      <w:bCs/>
      <w:kern w:val="2"/>
      <w:sz w:val="32"/>
      <w:szCs w:val="32"/>
      <w:lang w:val="en-US" w:eastAsia="zh-CN" w:bidi="ar-SA"/>
    </w:rPr>
  </w:style>
  <w:style w:type="character" w:customStyle="1" w:styleId="84">
    <w:name w:val="--规划正文 Char1"/>
    <w:qFormat/>
    <w:uiPriority w:val="0"/>
    <w:rPr>
      <w:rFonts w:eastAsia="宋体"/>
      <w:kern w:val="2"/>
      <w:sz w:val="21"/>
      <w:lang w:val="en-US" w:eastAsia="zh-CN" w:bidi="ar-SA"/>
    </w:rPr>
  </w:style>
  <w:style w:type="character" w:customStyle="1" w:styleId="85">
    <w:name w:val="正文首行缩进 Char"/>
    <w:basedOn w:val="73"/>
    <w:link w:val="42"/>
    <w:qFormat/>
    <w:uiPriority w:val="0"/>
    <w:rPr>
      <w:rFonts w:ascii="Times New Roman" w:hAnsi="Times New Roman"/>
      <w:b/>
      <w:bCs/>
      <w:kern w:val="0"/>
      <w:sz w:val="20"/>
      <w:szCs w:val="24"/>
      <w:lang w:val="en-US" w:eastAsia="zh-CN"/>
    </w:rPr>
  </w:style>
  <w:style w:type="character" w:customStyle="1" w:styleId="86">
    <w:name w:val="z-窗体底端 Char"/>
    <w:basedOn w:val="45"/>
    <w:qFormat/>
    <w:uiPriority w:val="0"/>
    <w:rPr>
      <w:rFonts w:ascii="Arial" w:hAnsi="Arial" w:eastAsia="宋体" w:cs="Times New Roman"/>
      <w:vanish/>
      <w:kern w:val="0"/>
      <w:sz w:val="16"/>
      <w:szCs w:val="16"/>
      <w:lang w:val="en-US" w:eastAsia="zh-CN"/>
    </w:rPr>
  </w:style>
  <w:style w:type="paragraph" w:customStyle="1" w:styleId="87">
    <w:name w:val="z-窗体底端1"/>
    <w:basedOn w:val="1"/>
    <w:next w:val="1"/>
    <w:link w:val="200"/>
    <w:qFormat/>
    <w:uiPriority w:val="0"/>
    <w:pPr>
      <w:widowControl/>
      <w:pBdr>
        <w:top w:val="single" w:color="auto" w:sz="6" w:space="1"/>
      </w:pBdr>
      <w:jc w:val="center"/>
    </w:pPr>
    <w:rPr>
      <w:rFonts w:ascii="Arial" w:hAnsi="Arial"/>
      <w:vanish/>
      <w:kern w:val="0"/>
      <w:sz w:val="16"/>
      <w:szCs w:val="16"/>
    </w:rPr>
  </w:style>
  <w:style w:type="character" w:customStyle="1" w:styleId="88">
    <w:name w:val="HTML 预设格式 Char"/>
    <w:basedOn w:val="45"/>
    <w:link w:val="37"/>
    <w:qFormat/>
    <w:uiPriority w:val="0"/>
    <w:rPr>
      <w:rFonts w:ascii="Arial Unicode MS" w:hAnsi="Arial Unicode MS" w:eastAsia="Arial Unicode MS" w:cs="Times New Roman"/>
      <w:color w:val="000000"/>
      <w:kern w:val="0"/>
      <w:sz w:val="20"/>
      <w:szCs w:val="20"/>
    </w:rPr>
  </w:style>
  <w:style w:type="character" w:customStyle="1" w:styleId="89">
    <w:name w:val="H4 Char2"/>
    <w:qFormat/>
    <w:uiPriority w:val="0"/>
    <w:rPr>
      <w:rFonts w:ascii="Arial" w:hAnsi="Arial" w:eastAsia="黑体"/>
      <w:b/>
      <w:bCs/>
      <w:kern w:val="2"/>
      <w:sz w:val="28"/>
      <w:szCs w:val="28"/>
      <w:lang w:val="en-US" w:eastAsia="zh-CN" w:bidi="ar-SA"/>
    </w:rPr>
  </w:style>
  <w:style w:type="character" w:customStyle="1" w:styleId="90">
    <w:name w:val="正文文本 Char1"/>
    <w:link w:val="20"/>
    <w:qFormat/>
    <w:uiPriority w:val="0"/>
    <w:rPr>
      <w:rFonts w:ascii="Times New Roman" w:hAnsi="Times New Roman" w:eastAsia="宋体" w:cs="Times New Roman"/>
      <w:b/>
      <w:bCs/>
      <w:kern w:val="0"/>
      <w:sz w:val="24"/>
      <w:szCs w:val="24"/>
    </w:rPr>
  </w:style>
  <w:style w:type="character" w:customStyle="1" w:styleId="91">
    <w:name w:val="body text Char1"/>
    <w:qFormat/>
    <w:uiPriority w:val="0"/>
    <w:rPr>
      <w:rFonts w:eastAsia="宋体"/>
      <w:kern w:val="2"/>
      <w:sz w:val="21"/>
      <w:lang w:val="en-US" w:eastAsia="zh-CN" w:bidi="ar-SA"/>
    </w:rPr>
  </w:style>
  <w:style w:type="character" w:customStyle="1" w:styleId="92">
    <w:name w:val="文档结构图 Char"/>
    <w:basedOn w:val="45"/>
    <w:link w:val="17"/>
    <w:semiHidden/>
    <w:qFormat/>
    <w:uiPriority w:val="0"/>
    <w:rPr>
      <w:rFonts w:ascii="Times New Roman" w:hAnsi="Times New Roman" w:eastAsia="宋体" w:cs="Times New Roman"/>
      <w:kern w:val="0"/>
      <w:sz w:val="20"/>
      <w:szCs w:val="24"/>
      <w:shd w:val="clear" w:color="auto" w:fill="000080"/>
    </w:rPr>
  </w:style>
  <w:style w:type="character" w:customStyle="1" w:styleId="93">
    <w:name w:val="正文文本 3 Char"/>
    <w:basedOn w:val="45"/>
    <w:link w:val="19"/>
    <w:qFormat/>
    <w:uiPriority w:val="0"/>
    <w:rPr>
      <w:rFonts w:ascii="Times New Roman" w:hAnsi="Times New Roman" w:eastAsia="宋体" w:cs="Times New Roman"/>
      <w:kern w:val="0"/>
      <w:sz w:val="16"/>
      <w:szCs w:val="16"/>
    </w:rPr>
  </w:style>
  <w:style w:type="character" w:customStyle="1" w:styleId="94">
    <w:name w:val="blue"/>
    <w:basedOn w:val="45"/>
    <w:qFormat/>
    <w:uiPriority w:val="0"/>
  </w:style>
  <w:style w:type="character" w:customStyle="1" w:styleId="95">
    <w:name w:val="proddescription"/>
    <w:basedOn w:val="45"/>
    <w:qFormat/>
    <w:uiPriority w:val="0"/>
  </w:style>
  <w:style w:type="character" w:customStyle="1" w:styleId="96">
    <w:name w:val="缩进正文 Char"/>
    <w:link w:val="97"/>
    <w:qFormat/>
    <w:uiPriority w:val="0"/>
    <w:rPr>
      <w:rFonts w:ascii="Times New Roman" w:hAnsi="Times New Roman" w:eastAsia="仿宋_GB2312" w:cs="Times New Roman"/>
      <w:kern w:val="0"/>
      <w:sz w:val="28"/>
      <w:szCs w:val="20"/>
    </w:rPr>
  </w:style>
  <w:style w:type="paragraph" w:customStyle="1" w:styleId="97">
    <w:name w:val="缩进正文"/>
    <w:basedOn w:val="1"/>
    <w:link w:val="96"/>
    <w:qFormat/>
    <w:uiPriority w:val="0"/>
    <w:pPr>
      <w:ind w:firstLine="560" w:firstLineChars="200"/>
    </w:pPr>
    <w:rPr>
      <w:rFonts w:ascii="Times New Roman" w:hAnsi="Times New Roman" w:eastAsia="仿宋_GB2312"/>
      <w:kern w:val="0"/>
      <w:sz w:val="28"/>
      <w:szCs w:val="20"/>
    </w:rPr>
  </w:style>
  <w:style w:type="character" w:customStyle="1" w:styleId="98">
    <w:name w:val="style9"/>
    <w:basedOn w:val="45"/>
    <w:qFormat/>
    <w:uiPriority w:val="0"/>
  </w:style>
  <w:style w:type="character" w:customStyle="1" w:styleId="99">
    <w:name w:val="prodheadlines"/>
    <w:basedOn w:val="45"/>
    <w:qFormat/>
    <w:uiPriority w:val="0"/>
  </w:style>
  <w:style w:type="character" w:customStyle="1" w:styleId="100">
    <w:name w:val="content1"/>
    <w:qFormat/>
    <w:uiPriority w:val="0"/>
    <w:rPr>
      <w:rFonts w:hint="default" w:ascii="??" w:hAnsi="??"/>
      <w:sz w:val="16"/>
      <w:szCs w:val="16"/>
      <w:u w:val="none"/>
    </w:rPr>
  </w:style>
  <w:style w:type="character" w:customStyle="1" w:styleId="101">
    <w:name w:val="正文文本缩进 3 Char"/>
    <w:basedOn w:val="45"/>
    <w:link w:val="33"/>
    <w:qFormat/>
    <w:uiPriority w:val="0"/>
    <w:rPr>
      <w:rFonts w:ascii="宋体" w:hAnsi="Times New Roman" w:eastAsia="宋体" w:cs="Times New Roman"/>
      <w:b/>
      <w:bCs/>
      <w:kern w:val="0"/>
      <w:sz w:val="24"/>
      <w:szCs w:val="24"/>
    </w:rPr>
  </w:style>
  <w:style w:type="character" w:customStyle="1" w:styleId="102">
    <w:name w:val="章标题1 Char"/>
    <w:qFormat/>
    <w:uiPriority w:val="0"/>
    <w:rPr>
      <w:rFonts w:eastAsia="宋体"/>
      <w:b/>
      <w:bCs/>
      <w:kern w:val="2"/>
      <w:sz w:val="32"/>
      <w:szCs w:val="32"/>
      <w:lang w:val="en-US" w:eastAsia="zh-CN" w:bidi="ar-SA"/>
    </w:rPr>
  </w:style>
  <w:style w:type="character" w:customStyle="1" w:styleId="103">
    <w:name w:val="font41"/>
    <w:qFormat/>
    <w:uiPriority w:val="0"/>
    <w:rPr>
      <w:color w:val="000000"/>
      <w:spacing w:val="260"/>
      <w:sz w:val="18"/>
      <w:szCs w:val="18"/>
      <w:u w:val="none"/>
    </w:rPr>
  </w:style>
  <w:style w:type="character" w:customStyle="1" w:styleId="104">
    <w:name w:val="alt-edited1"/>
    <w:qFormat/>
    <w:uiPriority w:val="0"/>
    <w:rPr>
      <w:color w:val="4D90F0"/>
    </w:rPr>
  </w:style>
  <w:style w:type="character" w:customStyle="1" w:styleId="105">
    <w:name w:val="info4"/>
    <w:basedOn w:val="45"/>
    <w:qFormat/>
    <w:uiPriority w:val="0"/>
  </w:style>
  <w:style w:type="character" w:customStyle="1" w:styleId="106">
    <w:name w:val="第*章 Char"/>
    <w:qFormat/>
    <w:uiPriority w:val="0"/>
    <w:rPr>
      <w:rFonts w:ascii="Arial" w:hAnsi="Arial" w:eastAsia="黑体"/>
      <w:b/>
      <w:bCs/>
      <w:kern w:val="2"/>
      <w:sz w:val="32"/>
      <w:szCs w:val="32"/>
    </w:rPr>
  </w:style>
  <w:style w:type="character" w:customStyle="1" w:styleId="107">
    <w:name w:val="text"/>
    <w:basedOn w:val="45"/>
    <w:qFormat/>
    <w:uiPriority w:val="0"/>
  </w:style>
  <w:style w:type="character" w:customStyle="1" w:styleId="108">
    <w:name w:val="正文文本缩进 2 Char"/>
    <w:basedOn w:val="45"/>
    <w:link w:val="26"/>
    <w:qFormat/>
    <w:uiPriority w:val="0"/>
    <w:rPr>
      <w:rFonts w:ascii="宋体" w:hAnsi="宋体" w:eastAsia="宋体" w:cs="Times New Roman"/>
      <w:kern w:val="0"/>
      <w:sz w:val="20"/>
      <w:szCs w:val="24"/>
    </w:rPr>
  </w:style>
  <w:style w:type="character" w:customStyle="1" w:styleId="109">
    <w:name w:val="font11"/>
    <w:qFormat/>
    <w:uiPriority w:val="0"/>
    <w:rPr>
      <w:rFonts w:hint="default" w:ascii="ˎ̥" w:hAnsi="ˎ̥"/>
    </w:rPr>
  </w:style>
  <w:style w:type="character" w:customStyle="1" w:styleId="110">
    <w:name w:val="批注框文本 Char"/>
    <w:basedOn w:val="45"/>
    <w:link w:val="27"/>
    <w:qFormat/>
    <w:uiPriority w:val="99"/>
    <w:rPr>
      <w:rFonts w:ascii="Times New Roman" w:hAnsi="Times New Roman" w:eastAsia="宋体" w:cs="Times New Roman"/>
      <w:kern w:val="0"/>
      <w:sz w:val="18"/>
      <w:szCs w:val="18"/>
    </w:rPr>
  </w:style>
  <w:style w:type="character" w:customStyle="1" w:styleId="111">
    <w:name w:val="mode"/>
    <w:basedOn w:val="45"/>
    <w:qFormat/>
    <w:uiPriority w:val="0"/>
  </w:style>
  <w:style w:type="character" w:customStyle="1" w:styleId="112">
    <w:name w:val="正文文本 3 Char1"/>
    <w:basedOn w:val="45"/>
    <w:link w:val="19"/>
    <w:semiHidden/>
    <w:qFormat/>
    <w:uiPriority w:val="99"/>
    <w:rPr>
      <w:rFonts w:ascii="Calibri" w:hAnsi="Calibri" w:eastAsia="宋体" w:cs="Times New Roman"/>
      <w:sz w:val="16"/>
      <w:szCs w:val="16"/>
    </w:rPr>
  </w:style>
  <w:style w:type="character" w:customStyle="1" w:styleId="113">
    <w:name w:val="纯文本 Char1"/>
    <w:basedOn w:val="45"/>
    <w:link w:val="2"/>
    <w:semiHidden/>
    <w:qFormat/>
    <w:uiPriority w:val="99"/>
    <w:rPr>
      <w:rFonts w:ascii="宋体" w:hAnsi="Courier New" w:eastAsia="宋体" w:cs="Courier New"/>
      <w:szCs w:val="21"/>
    </w:rPr>
  </w:style>
  <w:style w:type="character" w:customStyle="1" w:styleId="114">
    <w:name w:val="文档结构图 Char1"/>
    <w:basedOn w:val="45"/>
    <w:link w:val="17"/>
    <w:semiHidden/>
    <w:qFormat/>
    <w:uiPriority w:val="99"/>
    <w:rPr>
      <w:rFonts w:ascii="宋体" w:hAnsi="Calibri" w:eastAsia="宋体" w:cs="Times New Roman"/>
      <w:sz w:val="18"/>
      <w:szCs w:val="18"/>
    </w:rPr>
  </w:style>
  <w:style w:type="character" w:customStyle="1" w:styleId="115">
    <w:name w:val="日期 Char1"/>
    <w:basedOn w:val="45"/>
    <w:link w:val="25"/>
    <w:semiHidden/>
    <w:qFormat/>
    <w:uiPriority w:val="99"/>
    <w:rPr>
      <w:rFonts w:ascii="Calibri" w:hAnsi="Calibri" w:eastAsia="宋体" w:cs="Times New Roman"/>
    </w:rPr>
  </w:style>
  <w:style w:type="character" w:customStyle="1" w:styleId="116">
    <w:name w:val="正文文本 Char2"/>
    <w:basedOn w:val="45"/>
    <w:link w:val="20"/>
    <w:semiHidden/>
    <w:qFormat/>
    <w:uiPriority w:val="99"/>
    <w:rPr>
      <w:rFonts w:ascii="Calibri" w:hAnsi="Calibri" w:eastAsia="宋体" w:cs="Times New Roman"/>
    </w:rPr>
  </w:style>
  <w:style w:type="character" w:customStyle="1" w:styleId="117">
    <w:name w:val="正文文本缩进 Char1"/>
    <w:basedOn w:val="45"/>
    <w:link w:val="21"/>
    <w:semiHidden/>
    <w:qFormat/>
    <w:uiPriority w:val="99"/>
    <w:rPr>
      <w:rFonts w:ascii="Calibri" w:hAnsi="Calibri" w:eastAsia="宋体" w:cs="Times New Roman"/>
    </w:rPr>
  </w:style>
  <w:style w:type="character" w:customStyle="1" w:styleId="118">
    <w:name w:val="批注文字 Char1"/>
    <w:basedOn w:val="45"/>
    <w:link w:val="18"/>
    <w:semiHidden/>
    <w:qFormat/>
    <w:uiPriority w:val="99"/>
    <w:rPr>
      <w:rFonts w:ascii="Calibri" w:hAnsi="Calibri" w:eastAsia="宋体" w:cs="Times New Roman"/>
    </w:rPr>
  </w:style>
  <w:style w:type="character" w:customStyle="1" w:styleId="119">
    <w:name w:val="HTML 预设格式 Char1"/>
    <w:basedOn w:val="45"/>
    <w:link w:val="37"/>
    <w:semiHidden/>
    <w:qFormat/>
    <w:uiPriority w:val="99"/>
    <w:rPr>
      <w:rFonts w:ascii="Courier New" w:hAnsi="Courier New" w:eastAsia="宋体" w:cs="Courier New"/>
      <w:sz w:val="20"/>
      <w:szCs w:val="20"/>
    </w:rPr>
  </w:style>
  <w:style w:type="character" w:customStyle="1" w:styleId="120">
    <w:name w:val="正文文本缩进 2 Char1"/>
    <w:basedOn w:val="45"/>
    <w:link w:val="26"/>
    <w:semiHidden/>
    <w:qFormat/>
    <w:uiPriority w:val="99"/>
    <w:rPr>
      <w:rFonts w:ascii="Calibri" w:hAnsi="Calibri" w:eastAsia="宋体" w:cs="Times New Roman"/>
    </w:rPr>
  </w:style>
  <w:style w:type="character" w:customStyle="1" w:styleId="121">
    <w:name w:val="正文文本 2 Char1"/>
    <w:basedOn w:val="45"/>
    <w:link w:val="36"/>
    <w:semiHidden/>
    <w:qFormat/>
    <w:uiPriority w:val="99"/>
    <w:rPr>
      <w:rFonts w:ascii="Calibri" w:hAnsi="Calibri" w:eastAsia="宋体" w:cs="Times New Roman"/>
    </w:rPr>
  </w:style>
  <w:style w:type="character" w:customStyle="1" w:styleId="122">
    <w:name w:val="批注框文本 Char1"/>
    <w:basedOn w:val="45"/>
    <w:link w:val="27"/>
    <w:semiHidden/>
    <w:qFormat/>
    <w:uiPriority w:val="99"/>
    <w:rPr>
      <w:rFonts w:ascii="Calibri" w:hAnsi="Calibri" w:eastAsia="宋体" w:cs="Times New Roman"/>
      <w:sz w:val="18"/>
      <w:szCs w:val="18"/>
    </w:rPr>
  </w:style>
  <w:style w:type="character" w:customStyle="1" w:styleId="123">
    <w:name w:val="正文文本缩进 3 Char1"/>
    <w:basedOn w:val="45"/>
    <w:link w:val="33"/>
    <w:semiHidden/>
    <w:qFormat/>
    <w:uiPriority w:val="99"/>
    <w:rPr>
      <w:rFonts w:ascii="Calibri" w:hAnsi="Calibri" w:eastAsia="宋体" w:cs="Times New Roman"/>
      <w:sz w:val="16"/>
      <w:szCs w:val="16"/>
    </w:rPr>
  </w:style>
  <w:style w:type="character" w:customStyle="1" w:styleId="124">
    <w:name w:val="标题 Char1"/>
    <w:basedOn w:val="45"/>
    <w:link w:val="40"/>
    <w:qFormat/>
    <w:uiPriority w:val="10"/>
    <w:rPr>
      <w:rFonts w:eastAsia="宋体" w:asciiTheme="majorHAnsi" w:hAnsiTheme="majorHAnsi" w:cstheme="majorBidi"/>
      <w:b/>
      <w:bCs/>
      <w:sz w:val="32"/>
      <w:szCs w:val="32"/>
    </w:rPr>
  </w:style>
  <w:style w:type="character" w:customStyle="1" w:styleId="125">
    <w:name w:val="批注主题 Char1"/>
    <w:basedOn w:val="118"/>
    <w:link w:val="41"/>
    <w:semiHidden/>
    <w:qFormat/>
    <w:uiPriority w:val="99"/>
    <w:rPr>
      <w:b/>
      <w:bCs/>
    </w:rPr>
  </w:style>
  <w:style w:type="character" w:customStyle="1" w:styleId="126">
    <w:name w:val="正文首行缩进 Char1"/>
    <w:basedOn w:val="116"/>
    <w:link w:val="42"/>
    <w:semiHidden/>
    <w:qFormat/>
    <w:uiPriority w:val="99"/>
  </w:style>
  <w:style w:type="paragraph" w:customStyle="1" w:styleId="12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28">
    <w:name w:val="编号1"/>
    <w:basedOn w:val="1"/>
    <w:qFormat/>
    <w:uiPriority w:val="0"/>
    <w:pPr>
      <w:tabs>
        <w:tab w:val="left" w:pos="360"/>
      </w:tabs>
      <w:adjustRightInd w:val="0"/>
      <w:spacing w:line="300" w:lineRule="auto"/>
      <w:ind w:left="360" w:right="210" w:hanging="360"/>
      <w:textAlignment w:val="center"/>
    </w:pPr>
    <w:rPr>
      <w:rFonts w:ascii="宋体" w:hAnsi="宋体"/>
      <w:snapToGrid w:val="0"/>
      <w:spacing w:val="10"/>
      <w:kern w:val="24"/>
      <w:szCs w:val="24"/>
    </w:rPr>
  </w:style>
  <w:style w:type="paragraph" w:customStyle="1" w:styleId="129">
    <w:name w:val="--规划正文"/>
    <w:basedOn w:val="1"/>
    <w:qFormat/>
    <w:uiPriority w:val="0"/>
    <w:pPr>
      <w:spacing w:line="360" w:lineRule="auto"/>
      <w:ind w:firstLine="200" w:firstLineChars="200"/>
    </w:pPr>
    <w:rPr>
      <w:rFonts w:ascii="Times New Roman" w:hAnsi="Times New Roman"/>
      <w:szCs w:val="20"/>
    </w:rPr>
  </w:style>
  <w:style w:type="paragraph" w:customStyle="1" w:styleId="130">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2">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3">
    <w:name w:val="9"/>
    <w:basedOn w:val="1"/>
    <w:next w:val="9"/>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34">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35">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36">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38">
    <w:name w:val="样式 标题 2 + 段前: 13 磅 段后: 13 磅 行距: 单倍行距"/>
    <w:basedOn w:val="7"/>
    <w:qFormat/>
    <w:uiPriority w:val="0"/>
    <w:pPr>
      <w:adjustRightInd/>
      <w:spacing w:before="0" w:after="0"/>
      <w:jc w:val="both"/>
      <w:textAlignment w:val="auto"/>
    </w:pPr>
    <w:rPr>
      <w:rFonts w:ascii="Cambria" w:hAnsi="Cambria" w:cs="宋体"/>
      <w:kern w:val="2"/>
      <w:sz w:val="32"/>
    </w:rPr>
  </w:style>
  <w:style w:type="paragraph" w:customStyle="1" w:styleId="139">
    <w:name w:val="RFI text from 3rd Level"/>
    <w:basedOn w:val="1"/>
    <w:qFormat/>
    <w:uiPriority w:val="0"/>
    <w:pPr>
      <w:widowControl/>
      <w:tabs>
        <w:tab w:val="left" w:pos="1080"/>
      </w:tabs>
      <w:spacing w:beforeLines="50" w:line="360" w:lineRule="auto"/>
    </w:pPr>
    <w:rPr>
      <w:rFonts w:ascii="Arial (W1)" w:hAnsi="Arial (W1)"/>
      <w:bCs/>
      <w:kern w:val="0"/>
      <w:sz w:val="24"/>
      <w:szCs w:val="24"/>
      <w:lang w:val="en-GB"/>
    </w:rPr>
  </w:style>
  <w:style w:type="paragraph" w:customStyle="1" w:styleId="140">
    <w:name w:val="列出段落1"/>
    <w:basedOn w:val="1"/>
    <w:link w:val="214"/>
    <w:qFormat/>
    <w:uiPriority w:val="0"/>
    <w:pPr>
      <w:ind w:firstLine="420" w:firstLineChars="200"/>
    </w:pPr>
    <w:rPr>
      <w:rFonts w:cs="Calibri"/>
      <w:szCs w:val="21"/>
    </w:rPr>
  </w:style>
  <w:style w:type="paragraph" w:customStyle="1" w:styleId="141">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42">
    <w:name w:val="_Style 28"/>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3">
    <w:name w:val="设计依据"/>
    <w:basedOn w:val="20"/>
    <w:qFormat/>
    <w:uiPriority w:val="0"/>
    <w:pPr>
      <w:tabs>
        <w:tab w:val="left" w:pos="1440"/>
      </w:tabs>
      <w:adjustRightInd w:val="0"/>
      <w:ind w:left="1440" w:hanging="420"/>
      <w:textAlignment w:val="baseline"/>
    </w:pPr>
    <w:rPr>
      <w:rFonts w:ascii="宋体" w:hAnsi="宋体"/>
      <w:b w:val="0"/>
      <w:sz w:val="28"/>
      <w:szCs w:val="18"/>
    </w:rPr>
  </w:style>
  <w:style w:type="paragraph" w:styleId="144">
    <w:name w:val="List Paragraph"/>
    <w:basedOn w:val="1"/>
    <w:qFormat/>
    <w:uiPriority w:val="34"/>
    <w:pPr>
      <w:ind w:firstLine="420" w:firstLineChars="200"/>
    </w:pPr>
  </w:style>
  <w:style w:type="paragraph" w:customStyle="1" w:styleId="145">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6">
    <w:name w:val="--规划-小标题"/>
    <w:basedOn w:val="1"/>
    <w:next w:val="129"/>
    <w:qFormat/>
    <w:uiPriority w:val="0"/>
    <w:pPr>
      <w:keepNext/>
      <w:keepLines/>
      <w:spacing w:line="360" w:lineRule="auto"/>
      <w:outlineLvl w:val="4"/>
    </w:pPr>
    <w:rPr>
      <w:rFonts w:ascii="Times New Roman" w:hAnsi="Times New Roman" w:eastAsia="黑体"/>
      <w:szCs w:val="24"/>
    </w:rPr>
  </w:style>
  <w:style w:type="paragraph" w:customStyle="1" w:styleId="147">
    <w:name w:val="自定义正文"/>
    <w:basedOn w:val="1"/>
    <w:qFormat/>
    <w:uiPriority w:val="0"/>
    <w:pPr>
      <w:spacing w:afterLines="50"/>
      <w:ind w:left="600" w:leftChars="600"/>
    </w:pPr>
    <w:rPr>
      <w:rFonts w:ascii="Times New Roman" w:hAnsi="Times New Roman"/>
      <w:szCs w:val="24"/>
    </w:rPr>
  </w:style>
  <w:style w:type="paragraph" w:customStyle="1" w:styleId="148">
    <w:name w:val="段落正文"/>
    <w:basedOn w:val="2"/>
    <w:qFormat/>
    <w:uiPriority w:val="0"/>
    <w:pPr>
      <w:ind w:firstLine="560" w:firstLineChars="200"/>
    </w:pPr>
    <w:rPr>
      <w:sz w:val="28"/>
    </w:rPr>
  </w:style>
  <w:style w:type="paragraph" w:customStyle="1" w:styleId="149">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50">
    <w:name w:val="--规划-表格-居中"/>
    <w:basedOn w:val="129"/>
    <w:qFormat/>
    <w:uiPriority w:val="0"/>
    <w:pPr>
      <w:spacing w:line="240" w:lineRule="auto"/>
      <w:ind w:firstLine="0" w:firstLineChars="0"/>
      <w:jc w:val="center"/>
    </w:pPr>
    <w:rPr>
      <w:sz w:val="20"/>
    </w:rPr>
  </w:style>
  <w:style w:type="paragraph" w:customStyle="1" w:styleId="15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2">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53">
    <w:name w:val="正文文字缩进项目"/>
    <w:basedOn w:val="21"/>
    <w:qFormat/>
    <w:uiPriority w:val="0"/>
    <w:pPr>
      <w:tabs>
        <w:tab w:val="left" w:pos="840"/>
      </w:tabs>
      <w:spacing w:after="120" w:line="240" w:lineRule="auto"/>
      <w:ind w:left="840" w:firstLine="0" w:firstLineChars="0"/>
    </w:pPr>
    <w:rPr>
      <w:rFonts w:ascii="Tahoma" w:hAnsi="Tahoma"/>
      <w:sz w:val="22"/>
      <w:szCs w:val="20"/>
    </w:rPr>
  </w:style>
  <w:style w:type="paragraph" w:customStyle="1" w:styleId="154">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155">
    <w:name w:val="样式2"/>
    <w:basedOn w:val="40"/>
    <w:next w:val="156"/>
    <w:qFormat/>
    <w:uiPriority w:val="0"/>
    <w:pPr>
      <w:spacing w:before="120" w:after="120"/>
    </w:pPr>
    <w:rPr>
      <w:rFonts w:eastAsia="黑体"/>
      <w:b w:val="0"/>
      <w:sz w:val="30"/>
      <w:szCs w:val="30"/>
    </w:rPr>
  </w:style>
  <w:style w:type="paragraph" w:customStyle="1" w:styleId="156">
    <w:name w:val="样式1"/>
    <w:basedOn w:val="40"/>
    <w:qFormat/>
    <w:uiPriority w:val="0"/>
    <w:pPr>
      <w:spacing w:before="120" w:after="120"/>
    </w:pPr>
    <w:rPr>
      <w:rFonts w:eastAsia="黑体"/>
      <w:b w:val="0"/>
      <w:sz w:val="30"/>
      <w:szCs w:val="21"/>
    </w:rPr>
  </w:style>
  <w:style w:type="paragraph" w:customStyle="1" w:styleId="157">
    <w:name w:val="样式41"/>
    <w:basedOn w:val="1"/>
    <w:qFormat/>
    <w:uiPriority w:val="0"/>
    <w:pPr>
      <w:tabs>
        <w:tab w:val="left" w:pos="945"/>
        <w:tab w:val="left" w:pos="2040"/>
      </w:tabs>
      <w:spacing w:line="360" w:lineRule="auto"/>
      <w:ind w:left="2040" w:hanging="360"/>
    </w:pPr>
    <w:rPr>
      <w:rFonts w:ascii="Times New Roman" w:hAnsi="Times New Roman"/>
      <w:b/>
      <w:color w:val="000000"/>
      <w:sz w:val="24"/>
      <w:szCs w:val="20"/>
    </w:rPr>
  </w:style>
  <w:style w:type="paragraph" w:customStyle="1" w:styleId="158">
    <w:name w:val="Char Char"/>
    <w:basedOn w:val="1"/>
    <w:qFormat/>
    <w:uiPriority w:val="0"/>
    <w:rPr>
      <w:rFonts w:ascii="Tahoma" w:hAnsi="Tahoma"/>
      <w:sz w:val="24"/>
      <w:szCs w:val="20"/>
    </w:rPr>
  </w:style>
  <w:style w:type="paragraph" w:customStyle="1" w:styleId="15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60">
    <w:name w:val="Char Char Char"/>
    <w:basedOn w:val="1"/>
    <w:qFormat/>
    <w:uiPriority w:val="0"/>
    <w:rPr>
      <w:rFonts w:ascii="Tahoma" w:hAnsi="Tahoma"/>
      <w:sz w:val="24"/>
      <w:szCs w:val="20"/>
    </w:rPr>
  </w:style>
  <w:style w:type="paragraph" w:customStyle="1" w:styleId="161">
    <w:name w:val="Char Char Char Char Char"/>
    <w:basedOn w:val="1"/>
    <w:qFormat/>
    <w:uiPriority w:val="0"/>
    <w:rPr>
      <w:rFonts w:ascii="Tahoma" w:hAnsi="Tahoma"/>
      <w:sz w:val="24"/>
      <w:szCs w:val="20"/>
    </w:rPr>
  </w:style>
  <w:style w:type="paragraph" w:customStyle="1" w:styleId="162">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163">
    <w:name w:val="USE 1"/>
    <w:basedOn w:val="1"/>
    <w:qFormat/>
    <w:uiPriority w:val="0"/>
    <w:pPr>
      <w:spacing w:line="200" w:lineRule="atLeast"/>
      <w:jc w:val="left"/>
    </w:pPr>
    <w:rPr>
      <w:rFonts w:ascii="宋体" w:hAnsi="宋体"/>
      <w:b/>
      <w:sz w:val="24"/>
      <w:szCs w:val="28"/>
    </w:rPr>
  </w:style>
  <w:style w:type="paragraph" w:customStyle="1" w:styleId="164">
    <w:name w:val="--编号内缩进"/>
    <w:basedOn w:val="1"/>
    <w:qFormat/>
    <w:uiPriority w:val="0"/>
    <w:pPr>
      <w:spacing w:line="360" w:lineRule="auto"/>
      <w:ind w:left="420" w:firstLine="200" w:firstLineChars="200"/>
    </w:pPr>
    <w:rPr>
      <w:rFonts w:ascii="Times New Roman" w:hAnsi="Times New Roman"/>
      <w:szCs w:val="21"/>
    </w:rPr>
  </w:style>
  <w:style w:type="paragraph" w:customStyle="1" w:styleId="165">
    <w:name w:val="图"/>
    <w:basedOn w:val="1"/>
    <w:qFormat/>
    <w:uiPriority w:val="99"/>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166">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167">
    <w:name w:val="6"/>
    <w:basedOn w:val="141"/>
    <w:qFormat/>
    <w:uiPriority w:val="0"/>
    <w:pPr>
      <w:spacing w:line="270" w:lineRule="atLeast"/>
      <w:jc w:val="both"/>
    </w:pPr>
    <w:rPr>
      <w:b w:val="0"/>
      <w:bCs w:val="0"/>
    </w:rPr>
  </w:style>
  <w:style w:type="paragraph" w:customStyle="1" w:styleId="16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69">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70">
    <w:name w:val="--规划-表格-居左"/>
    <w:basedOn w:val="129"/>
    <w:qFormat/>
    <w:uiPriority w:val="0"/>
    <w:pPr>
      <w:spacing w:line="240" w:lineRule="auto"/>
      <w:ind w:firstLine="0" w:firstLineChars="0"/>
    </w:pPr>
    <w:rPr>
      <w:sz w:val="20"/>
    </w:rPr>
  </w:style>
  <w:style w:type="paragraph" w:customStyle="1" w:styleId="171">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2">
    <w:name w:val="方案要点"/>
    <w:basedOn w:val="1"/>
    <w:qFormat/>
    <w:uiPriority w:val="0"/>
    <w:pPr>
      <w:tabs>
        <w:tab w:val="left" w:pos="420"/>
      </w:tabs>
      <w:spacing w:line="360" w:lineRule="auto"/>
      <w:ind w:left="420" w:hanging="420"/>
    </w:pPr>
    <w:rPr>
      <w:rFonts w:ascii="仿宋_GB2312" w:hAnsi="宋体" w:eastAsia="仿宋_GB2312"/>
      <w:color w:val="000000"/>
      <w:sz w:val="28"/>
      <w:szCs w:val="28"/>
    </w:rPr>
  </w:style>
  <w:style w:type="paragraph" w:customStyle="1" w:styleId="173">
    <w:name w:val="--规划-图和表"/>
    <w:next w:val="129"/>
    <w:qFormat/>
    <w:uiPriority w:val="0"/>
    <w:pPr>
      <w:jc w:val="center"/>
    </w:pPr>
    <w:rPr>
      <w:rFonts w:ascii="Times New Roman" w:hAnsi="Times New Roman" w:eastAsia="宋体" w:cs="Times New Roman"/>
      <w:kern w:val="2"/>
      <w:sz w:val="21"/>
      <w:lang w:val="en-US" w:eastAsia="zh-CN" w:bidi="ar-SA"/>
    </w:rPr>
  </w:style>
  <w:style w:type="paragraph" w:customStyle="1" w:styleId="174">
    <w:name w:val="Char1"/>
    <w:basedOn w:val="1"/>
    <w:qFormat/>
    <w:uiPriority w:val="0"/>
    <w:pPr>
      <w:jc w:val="left"/>
    </w:pPr>
    <w:rPr>
      <w:rFonts w:ascii="Tahoma" w:hAnsi="Tahoma"/>
      <w:sz w:val="24"/>
      <w:szCs w:val="20"/>
    </w:rPr>
  </w:style>
  <w:style w:type="paragraph" w:customStyle="1" w:styleId="17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76">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77">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78">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character" w:customStyle="1" w:styleId="180">
    <w:name w:val="z-窗体顶端 Char1"/>
    <w:basedOn w:val="45"/>
    <w:link w:val="70"/>
    <w:semiHidden/>
    <w:qFormat/>
    <w:uiPriority w:val="99"/>
    <w:rPr>
      <w:rFonts w:ascii="Arial" w:hAnsi="Arial" w:eastAsia="宋体" w:cs="Arial"/>
      <w:vanish/>
      <w:sz w:val="16"/>
      <w:szCs w:val="16"/>
    </w:rPr>
  </w:style>
  <w:style w:type="paragraph" w:customStyle="1" w:styleId="181">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82">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8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85">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8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87">
    <w:name w:val="--规划-题注"/>
    <w:basedOn w:val="1"/>
    <w:next w:val="129"/>
    <w:qFormat/>
    <w:uiPriority w:val="0"/>
    <w:pPr>
      <w:spacing w:line="360" w:lineRule="auto"/>
      <w:jc w:val="center"/>
    </w:pPr>
    <w:rPr>
      <w:rFonts w:ascii="Times New Roman" w:hAnsi="Times New Roman" w:eastAsia="黑体"/>
      <w:szCs w:val="24"/>
    </w:rPr>
  </w:style>
  <w:style w:type="paragraph" w:customStyle="1" w:styleId="188">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89">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90">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91">
    <w:name w:val="样式3"/>
    <w:basedOn w:val="4"/>
    <w:qFormat/>
    <w:uiPriority w:val="0"/>
    <w:pPr>
      <w:tabs>
        <w:tab w:val="left" w:pos="420"/>
      </w:tabs>
      <w:spacing w:before="240" w:after="240" w:line="480" w:lineRule="auto"/>
      <w:ind w:left="420" w:right="210" w:rightChars="100" w:hanging="420"/>
      <w:jc w:val="left"/>
    </w:pPr>
    <w:rPr>
      <w:rFonts w:ascii="Times New Roman" w:hAnsi="Times New Roman"/>
      <w:sz w:val="32"/>
    </w:rPr>
  </w:style>
  <w:style w:type="paragraph" w:customStyle="1" w:styleId="19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93">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94">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95">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96">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97">
    <w:name w:val="8"/>
    <w:basedOn w:val="1"/>
    <w:next w:val="21"/>
    <w:qFormat/>
    <w:uiPriority w:val="0"/>
    <w:pPr>
      <w:spacing w:after="120"/>
      <w:ind w:left="420" w:leftChars="200"/>
    </w:pPr>
    <w:rPr>
      <w:rFonts w:ascii="Times New Roman" w:hAnsi="Times New Roman"/>
      <w:szCs w:val="24"/>
    </w:rPr>
  </w:style>
  <w:style w:type="paragraph" w:customStyle="1" w:styleId="198">
    <w:name w:val="姜文清定义的正文"/>
    <w:basedOn w:val="1"/>
    <w:qFormat/>
    <w:uiPriority w:val="0"/>
    <w:pPr>
      <w:spacing w:line="240" w:lineRule="atLeast"/>
      <w:ind w:firstLine="567"/>
    </w:pPr>
    <w:rPr>
      <w:rFonts w:ascii="Times New Roman" w:hAnsi="Times New Roman"/>
      <w:szCs w:val="20"/>
    </w:rPr>
  </w:style>
  <w:style w:type="paragraph" w:customStyle="1" w:styleId="199">
    <w:name w:val="CM2"/>
    <w:basedOn w:val="179"/>
    <w:next w:val="179"/>
    <w:qFormat/>
    <w:uiPriority w:val="0"/>
    <w:pPr>
      <w:spacing w:line="200" w:lineRule="atLeast"/>
    </w:pPr>
    <w:rPr>
      <w:rFonts w:ascii="Arial" w:hAnsi="Arial" w:eastAsia="宋体" w:cs="Times New Roman"/>
      <w:color w:val="auto"/>
    </w:rPr>
  </w:style>
  <w:style w:type="character" w:customStyle="1" w:styleId="200">
    <w:name w:val="z-窗体底端 Char1"/>
    <w:basedOn w:val="45"/>
    <w:link w:val="87"/>
    <w:semiHidden/>
    <w:qFormat/>
    <w:uiPriority w:val="99"/>
    <w:rPr>
      <w:rFonts w:ascii="Arial" w:hAnsi="Arial" w:eastAsia="宋体" w:cs="Arial"/>
      <w:vanish/>
      <w:sz w:val="16"/>
      <w:szCs w:val="16"/>
    </w:rPr>
  </w:style>
  <w:style w:type="paragraph" w:customStyle="1" w:styleId="201">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202">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20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04">
    <w:name w:val="表格字"/>
    <w:basedOn w:val="1"/>
    <w:qFormat/>
    <w:uiPriority w:val="0"/>
    <w:pPr>
      <w:adjustRightInd w:val="0"/>
      <w:jc w:val="center"/>
    </w:pPr>
    <w:rPr>
      <w:rFonts w:ascii="宋体" w:hAnsi="Times New Roman"/>
      <w:sz w:val="24"/>
      <w:szCs w:val="20"/>
    </w:rPr>
  </w:style>
  <w:style w:type="paragraph" w:customStyle="1" w:styleId="20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6">
    <w:name w:val="评价"/>
    <w:basedOn w:val="1"/>
    <w:qFormat/>
    <w:uiPriority w:val="0"/>
    <w:pPr>
      <w:spacing w:afterLines="20"/>
      <w:ind w:firstLine="1446" w:firstLineChars="200"/>
    </w:pPr>
    <w:rPr>
      <w:sz w:val="24"/>
      <w:szCs w:val="24"/>
    </w:rPr>
  </w:style>
  <w:style w:type="paragraph" w:customStyle="1" w:styleId="207">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08">
    <w:name w:val="正文(缩进) 五号"/>
    <w:basedOn w:val="1"/>
    <w:qFormat/>
    <w:uiPriority w:val="0"/>
    <w:pPr>
      <w:widowControl/>
      <w:spacing w:after="120" w:line="360" w:lineRule="auto"/>
      <w:ind w:firstLine="420" w:firstLineChars="200"/>
      <w:jc w:val="left"/>
    </w:pPr>
    <w:rPr>
      <w:rFonts w:ascii="Arial" w:hAnsi="Arial" w:cs="宋体"/>
      <w:kern w:val="0"/>
      <w:szCs w:val="20"/>
    </w:rPr>
  </w:style>
  <w:style w:type="paragraph" w:customStyle="1" w:styleId="209">
    <w:name w:val="封面标题"/>
    <w:basedOn w:val="1"/>
    <w:qFormat/>
    <w:uiPriority w:val="0"/>
    <w:pPr>
      <w:spacing w:line="360" w:lineRule="auto"/>
      <w:jc w:val="center"/>
    </w:pPr>
    <w:rPr>
      <w:rFonts w:ascii="Times New Roman" w:hAnsi="Times New Roman" w:eastAsia="黑体"/>
      <w:sz w:val="48"/>
      <w:szCs w:val="20"/>
    </w:rPr>
  </w:style>
  <w:style w:type="paragraph" w:customStyle="1" w:styleId="210">
    <w:name w:val="列出段落2"/>
    <w:basedOn w:val="1"/>
    <w:qFormat/>
    <w:uiPriority w:val="0"/>
    <w:pPr>
      <w:ind w:firstLine="420" w:firstLineChars="200"/>
    </w:pPr>
    <w:rPr>
      <w:szCs w:val="20"/>
    </w:rPr>
  </w:style>
  <w:style w:type="paragraph" w:styleId="211">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12">
    <w:name w:val="font31"/>
    <w:basedOn w:val="45"/>
    <w:qFormat/>
    <w:uiPriority w:val="0"/>
    <w:rPr>
      <w:rFonts w:hint="default" w:ascii="Times New Roman" w:hAnsi="Times New Roman" w:cs="Times New Roman"/>
      <w:color w:val="000000"/>
      <w:sz w:val="21"/>
      <w:szCs w:val="21"/>
      <w:u w:val="none"/>
    </w:rPr>
  </w:style>
  <w:style w:type="character" w:customStyle="1" w:styleId="213">
    <w:name w:val="正文缩进 Char1"/>
    <w:qFormat/>
    <w:uiPriority w:val="0"/>
    <w:rPr>
      <w:rFonts w:eastAsia="宋体"/>
      <w:kern w:val="2"/>
      <w:sz w:val="21"/>
      <w:lang w:val="en-US" w:eastAsia="zh-CN" w:bidi="ar-SA"/>
    </w:rPr>
  </w:style>
  <w:style w:type="character" w:customStyle="1" w:styleId="214">
    <w:name w:val="列表段落 字符"/>
    <w:link w:val="140"/>
    <w:qFormat/>
    <w:uiPriority w:val="0"/>
    <w:rPr>
      <w:rFonts w:ascii="Calibri" w:hAnsi="Calibri" w:eastAsia="宋体" w:cs="Calibri"/>
      <w:szCs w:val="21"/>
    </w:rPr>
  </w:style>
  <w:style w:type="paragraph" w:customStyle="1" w:styleId="215">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szCs w:val="24"/>
    </w:rPr>
  </w:style>
  <w:style w:type="paragraph" w:customStyle="1" w:styleId="216">
    <w:name w:val=".正文"/>
    <w:basedOn w:val="1"/>
    <w:qFormat/>
    <w:uiPriority w:val="0"/>
    <w:pPr>
      <w:spacing w:beforeLines="50"/>
      <w:ind w:firstLine="200" w:firstLineChars="200"/>
    </w:pPr>
    <w:rPr>
      <w:rFonts w:eastAsia="华文仿宋"/>
    </w:rPr>
  </w:style>
  <w:style w:type="character" w:customStyle="1" w:styleId="217">
    <w:name w:val="15"/>
    <w:basedOn w:val="45"/>
    <w:qFormat/>
    <w:uiPriority w:val="0"/>
    <w:rPr>
      <w:rFonts w:hint="default" w:ascii="Times New Roman" w:hAnsi="Times New Roman" w:cs="Times New Roman"/>
    </w:rPr>
  </w:style>
  <w:style w:type="character" w:customStyle="1" w:styleId="218">
    <w:name w:val="10"/>
    <w:basedOn w:val="4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56C16D-0CAB-4EF6-921F-437D1B48D405}">
  <ds:schemaRefs/>
</ds:datastoreItem>
</file>

<file path=docProps/app.xml><?xml version="1.0" encoding="utf-8"?>
<Properties xmlns="http://schemas.openxmlformats.org/officeDocument/2006/extended-properties" xmlns:vt="http://schemas.openxmlformats.org/officeDocument/2006/docPropsVTypes">
  <Template>Normal.dotm</Template>
  <Company>mycomputer</Company>
  <Pages>76</Pages>
  <Words>51465</Words>
  <Characters>55312</Characters>
  <Lines>430</Lines>
  <Paragraphs>121</Paragraphs>
  <TotalTime>0</TotalTime>
  <ScaleCrop>false</ScaleCrop>
  <LinksUpToDate>false</LinksUpToDate>
  <CharactersWithSpaces>57639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2020-09-24T06:11:00Z</dcterms:created>
  <dc:creator>Administrator</dc:creator>
  <cp:lastModifiedBy>是创不是灿</cp:lastModifiedBy>
  <cp:lastPrinted>2019-10-21T08:50:00Z</cp:lastPrinted>
  <dcterms:modified xsi:type="dcterms:W3CDTF">2023-05-25T09:18:02Z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EC14C7628E224C87ABCCC33A253C40E5_13</vt:lpwstr>
  </property>
</Properties>
</file>